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331D77E" w:rsidR="00584ABE" w:rsidRPr="001C61CE" w:rsidRDefault="00843D21" w:rsidP="005923F4">
      <w:pPr>
        <w:pStyle w:val="3GPPHeader"/>
        <w:spacing w:after="60"/>
        <w:rPr>
          <w:rFonts w:ascii="Arial" w:hAnsi="Arial" w:cs="Arial"/>
        </w:rPr>
      </w:pPr>
      <w:bookmarkStart w:id="0" w:name="_Ref462817227"/>
      <w:r w:rsidRPr="001C61CE">
        <w:t xml:space="preserve">3GPP TSG-RAN WG1 </w:t>
      </w:r>
      <w:r w:rsidR="00AE06DB" w:rsidRPr="001C61CE">
        <w:t>#</w:t>
      </w:r>
      <w:r w:rsidR="003D2860" w:rsidRPr="001C61CE">
        <w:t>99</w:t>
      </w:r>
      <w:r w:rsidR="00B548DA" w:rsidRPr="001C61CE">
        <w:rPr>
          <w:rFonts w:ascii="Arial" w:hAnsi="Arial" w:cs="Arial"/>
        </w:rPr>
        <w:tab/>
      </w:r>
      <w:r w:rsidR="00783800" w:rsidRPr="001C61CE">
        <w:rPr>
          <w:rFonts w:ascii="Arial" w:hAnsi="Arial" w:cs="Arial"/>
        </w:rPr>
        <w:t>R1</w:t>
      </w:r>
      <w:r w:rsidR="008E1D88" w:rsidRPr="001C61CE">
        <w:rPr>
          <w:rFonts w:ascii="Arial" w:hAnsi="Arial" w:cs="Arial"/>
        </w:rPr>
        <w:t>-</w:t>
      </w:r>
      <w:r w:rsidRPr="001C61CE">
        <w:rPr>
          <w:rFonts w:ascii="Arial" w:hAnsi="Arial" w:cs="Arial"/>
        </w:rPr>
        <w:t>19</w:t>
      </w:r>
      <w:r w:rsidR="00EA19A7" w:rsidRPr="001C61CE">
        <w:rPr>
          <w:rFonts w:ascii="Arial" w:hAnsi="Arial" w:cs="Arial"/>
        </w:rPr>
        <w:t>1</w:t>
      </w:r>
      <w:r w:rsidR="00A40D4D" w:rsidRPr="00A40D4D">
        <w:rPr>
          <w:rFonts w:ascii="Arial" w:hAnsi="Arial" w:cs="Arial"/>
        </w:rPr>
        <w:t>3098</w:t>
      </w:r>
      <w:r w:rsidR="00A40D4D" w:rsidRPr="00A40D4D" w:rsidDel="00A40D4D">
        <w:rPr>
          <w:rFonts w:ascii="Arial" w:hAnsi="Arial" w:cs="Arial"/>
        </w:rPr>
        <w:t xml:space="preserve"> </w:t>
      </w:r>
      <w:r w:rsidR="008C3E64" w:rsidRPr="001C61CE" w:rsidDel="00C54151">
        <w:rPr>
          <w:rFonts w:ascii="Arial" w:hAnsi="Arial" w:cs="Arial"/>
        </w:rPr>
        <w:t xml:space="preserve"> </w:t>
      </w:r>
      <w:r w:rsidR="005A147F" w:rsidRPr="001C61CE" w:rsidDel="005A147F">
        <w:rPr>
          <w:rFonts w:ascii="Arial" w:hAnsi="Arial" w:cs="Arial"/>
        </w:rPr>
        <w:t xml:space="preserve"> </w:t>
      </w:r>
    </w:p>
    <w:p w14:paraId="7A9879CD" w14:textId="29D08808" w:rsidR="00584ABE" w:rsidRPr="007A3FE1" w:rsidRDefault="003D2860" w:rsidP="005923F4">
      <w:pPr>
        <w:pStyle w:val="3GPPHeader"/>
        <w:spacing w:after="60"/>
        <w:rPr>
          <w:rFonts w:ascii="Arial" w:hAnsi="Arial" w:cs="Arial"/>
          <w:b w:val="0"/>
          <w:noProof/>
        </w:rPr>
      </w:pPr>
      <w:r>
        <w:t>Reno</w:t>
      </w:r>
      <w:r w:rsidR="00C54151">
        <w:t xml:space="preserve">, </w:t>
      </w:r>
      <w:r>
        <w:t>USA</w:t>
      </w:r>
      <w:r w:rsidR="00C54151">
        <w:t xml:space="preserve">, </w:t>
      </w:r>
      <w:r>
        <w:t>November 18</w:t>
      </w:r>
      <w:r w:rsidR="00C54151" w:rsidRPr="005C2CC7">
        <w:rPr>
          <w:vertAlign w:val="superscript"/>
        </w:rPr>
        <w:t>th</w:t>
      </w:r>
      <w:r w:rsidR="00C54151">
        <w:t xml:space="preserve"> – </w:t>
      </w:r>
      <w:r>
        <w:t>22</w:t>
      </w:r>
      <w:r w:rsidR="00C54151" w:rsidRPr="005C2CC7">
        <w:rPr>
          <w:vertAlign w:val="superscript"/>
        </w:rPr>
        <w:t>th</w:t>
      </w:r>
      <w:r w:rsidR="00843D21">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5757ABF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2FCDECA"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06DB">
        <w:rPr>
          <w:rFonts w:ascii="Arial" w:hAnsi="Arial" w:cs="Arial"/>
          <w:sz w:val="22"/>
        </w:rPr>
        <w:t xml:space="preserve">DL signals and channels for NR-U </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A72EFE">
      <w:pPr>
        <w:pStyle w:val="Heading1"/>
        <w:rPr>
          <w:lang w:val="en-US"/>
        </w:rPr>
      </w:pPr>
      <w:r w:rsidRPr="002202E1">
        <w:rPr>
          <w:lang w:val="en-US"/>
        </w:rPr>
        <w:t>Introduction</w:t>
      </w:r>
      <w:bookmarkEnd w:id="0"/>
    </w:p>
    <w:p w14:paraId="702D40D4" w14:textId="0B1134C1" w:rsidR="00EC2BDB" w:rsidRDefault="00EC2BDB" w:rsidP="00EC2BDB">
      <w:pPr>
        <w:pStyle w:val="Proposal"/>
        <w:numPr>
          <w:ilvl w:val="0"/>
          <w:numId w:val="0"/>
        </w:numPr>
        <w:rPr>
          <w:rFonts w:ascii="Times New Roman" w:hAnsi="Times New Roman" w:cs="Times New Roman"/>
          <w:b w:val="0"/>
          <w:bCs w:val="0"/>
          <w:sz w:val="20"/>
        </w:rPr>
      </w:pPr>
      <w:r>
        <w:rPr>
          <w:rFonts w:ascii="Times New Roman" w:hAnsi="Times New Roman" w:cs="Times New Roman"/>
          <w:b w:val="0"/>
          <w:bCs w:val="0"/>
          <w:sz w:val="20"/>
        </w:rPr>
        <w:t xml:space="preserve">In this contribution, we provide our views for the </w:t>
      </w:r>
      <w:r w:rsidR="00112F5E">
        <w:rPr>
          <w:rFonts w:ascii="Times New Roman" w:hAnsi="Times New Roman" w:cs="Times New Roman"/>
          <w:b w:val="0"/>
          <w:bCs w:val="0"/>
          <w:sz w:val="20"/>
        </w:rPr>
        <w:t>remaining issues</w:t>
      </w:r>
      <w:r>
        <w:rPr>
          <w:rFonts w:ascii="Times New Roman" w:hAnsi="Times New Roman" w:cs="Times New Roman"/>
          <w:b w:val="0"/>
          <w:bCs w:val="0"/>
          <w:sz w:val="20"/>
        </w:rPr>
        <w:t xml:space="preserve"> of COT structure indication, </w:t>
      </w:r>
      <w:r w:rsidRPr="00EC2BDB">
        <w:rPr>
          <w:rFonts w:ascii="Times New Roman" w:hAnsi="Times New Roman" w:cs="Times New Roman"/>
          <w:b w:val="0"/>
          <w:bCs w:val="0"/>
          <w:sz w:val="20"/>
        </w:rPr>
        <w:t>DL burst detection, dynamic PDCCH m</w:t>
      </w:r>
      <w:r>
        <w:rPr>
          <w:rFonts w:ascii="Times New Roman" w:hAnsi="Times New Roman" w:cs="Times New Roman"/>
          <w:b w:val="0"/>
          <w:bCs w:val="0"/>
          <w:sz w:val="20"/>
        </w:rPr>
        <w:t>onitoring</w:t>
      </w:r>
      <w:r w:rsidRPr="00EC2BDB">
        <w:rPr>
          <w:rFonts w:ascii="Times New Roman" w:hAnsi="Times New Roman" w:cs="Times New Roman"/>
          <w:b w:val="0"/>
          <w:bCs w:val="0"/>
          <w:sz w:val="20"/>
        </w:rPr>
        <w:t xml:space="preserve">, </w:t>
      </w:r>
      <w:r>
        <w:rPr>
          <w:rFonts w:ascii="Times New Roman" w:hAnsi="Times New Roman" w:cs="Times New Roman"/>
          <w:b w:val="0"/>
          <w:bCs w:val="0"/>
          <w:sz w:val="20"/>
        </w:rPr>
        <w:t xml:space="preserve">DMRS for </w:t>
      </w:r>
      <w:r w:rsidRPr="00EC2BDB">
        <w:rPr>
          <w:rFonts w:ascii="Times New Roman" w:hAnsi="Times New Roman" w:cs="Times New Roman"/>
          <w:b w:val="0"/>
          <w:bCs w:val="0"/>
          <w:sz w:val="20"/>
        </w:rPr>
        <w:t>PDSCH mapping type B and design of CSI-RS.</w:t>
      </w:r>
      <w:r>
        <w:rPr>
          <w:rFonts w:ascii="Times New Roman" w:hAnsi="Times New Roman" w:cs="Times New Roman"/>
          <w:b w:val="0"/>
          <w:bCs w:val="0"/>
          <w:sz w:val="20"/>
        </w:rPr>
        <w:t xml:space="preserve"> </w:t>
      </w:r>
    </w:p>
    <w:p w14:paraId="45C76D17" w14:textId="40BB3E16" w:rsidR="000514D1" w:rsidRPr="002E35F4" w:rsidRDefault="002E35F4" w:rsidP="00155534">
      <w:pPr>
        <w:pStyle w:val="Proposal"/>
        <w:numPr>
          <w:ilvl w:val="0"/>
          <w:numId w:val="0"/>
        </w:numPr>
        <w:rPr>
          <w:rFonts w:ascii="Times New Roman" w:hAnsi="Times New Roman" w:cs="Times New Roman"/>
          <w:sz w:val="20"/>
        </w:rPr>
      </w:pPr>
      <w:bookmarkStart w:id="1" w:name="_Ref462918989"/>
      <w:r w:rsidRPr="002E35F4">
        <w:rPr>
          <w:rFonts w:ascii="Times New Roman" w:hAnsi="Times New Roman" w:cs="Times New Roman"/>
          <w:b w:val="0"/>
          <w:bCs w:val="0"/>
          <w:sz w:val="20"/>
        </w:rPr>
        <w:t xml:space="preserve"> </w:t>
      </w:r>
    </w:p>
    <w:p w14:paraId="55141043" w14:textId="6E7EB06A" w:rsidR="00D8203B" w:rsidRPr="00DC33E4" w:rsidRDefault="002A10A9" w:rsidP="005923F4">
      <w:pPr>
        <w:pStyle w:val="Heading1"/>
        <w:rPr>
          <w:lang w:val="en-US"/>
        </w:rPr>
      </w:pPr>
      <w:r>
        <w:rPr>
          <w:lang w:val="en-US"/>
        </w:rPr>
        <w:t>COT structure indication</w:t>
      </w:r>
    </w:p>
    <w:p w14:paraId="7A912EF7" w14:textId="62EE67BE" w:rsidR="001F3EAB" w:rsidRPr="001F3EAB" w:rsidRDefault="001F3EAB" w:rsidP="00155534">
      <w:r w:rsidRPr="006C0204">
        <w:rPr>
          <w:rFonts w:ascii="Times New Roman" w:hAnsi="Times New Roman"/>
          <w:sz w:val="20"/>
        </w:rPr>
        <w:t xml:space="preserve">In this section, </w:t>
      </w:r>
      <w:r>
        <w:rPr>
          <w:rFonts w:ascii="Times New Roman" w:hAnsi="Times New Roman"/>
          <w:sz w:val="20"/>
        </w:rPr>
        <w:t xml:space="preserve">we discuss </w:t>
      </w:r>
      <w:r w:rsidR="00744FE4">
        <w:rPr>
          <w:rFonts w:ascii="Times New Roman" w:hAnsi="Times New Roman"/>
          <w:sz w:val="20"/>
        </w:rPr>
        <w:t xml:space="preserve">the </w:t>
      </w:r>
      <w:r w:rsidR="00CB5190">
        <w:rPr>
          <w:rFonts w:ascii="Times New Roman" w:hAnsi="Times New Roman"/>
          <w:sz w:val="20"/>
        </w:rPr>
        <w:t>remaining issues of COT structure indication</w:t>
      </w:r>
      <w:r>
        <w:rPr>
          <w:rFonts w:ascii="Times New Roman" w:hAnsi="Times New Roman"/>
          <w:sz w:val="20"/>
        </w:rPr>
        <w:t>.</w:t>
      </w:r>
    </w:p>
    <w:p w14:paraId="0484C391" w14:textId="4ADB7C30" w:rsidR="00221997" w:rsidRDefault="00221997" w:rsidP="00221997">
      <w:pPr>
        <w:pStyle w:val="Heading4"/>
        <w:tabs>
          <w:tab w:val="clear" w:pos="284"/>
        </w:tabs>
        <w:ind w:left="864" w:right="569" w:hanging="864"/>
      </w:pPr>
      <w:r>
        <w:t>2.1</w:t>
      </w:r>
      <w:r w:rsidR="00941E9D">
        <w:t xml:space="preserve"> DL/UL transmission direction</w:t>
      </w:r>
      <w:r w:rsidR="00AA26F4">
        <w:t xml:space="preserve"> indication </w:t>
      </w:r>
    </w:p>
    <w:p w14:paraId="5EB75D28" w14:textId="6D4EE577" w:rsidR="0032788B" w:rsidRDefault="0032788B" w:rsidP="005E0FF1">
      <w:pPr>
        <w:spacing w:after="180"/>
        <w:rPr>
          <w:rFonts w:ascii="Times New Roman" w:hAnsi="Times New Roman" w:cs="Times New Roman"/>
          <w:sz w:val="20"/>
          <w:lang w:val="en-AU"/>
        </w:rPr>
      </w:pPr>
      <w:r>
        <w:rPr>
          <w:rFonts w:ascii="Times New Roman" w:hAnsi="Times New Roman" w:cs="Times New Roman"/>
          <w:sz w:val="20"/>
          <w:lang w:val="en-AU"/>
        </w:rPr>
        <w:t xml:space="preserve">Rel-15 NR supports </w:t>
      </w:r>
      <w:r w:rsidR="00441E4A">
        <w:rPr>
          <w:rFonts w:ascii="Times New Roman" w:hAnsi="Times New Roman" w:cs="Times New Roman"/>
          <w:sz w:val="20"/>
          <w:lang w:val="en-AU"/>
        </w:rPr>
        <w:t xml:space="preserve">a </w:t>
      </w:r>
      <w:r>
        <w:rPr>
          <w:rFonts w:ascii="Times New Roman" w:hAnsi="Times New Roman" w:cs="Times New Roman"/>
          <w:sz w:val="20"/>
          <w:lang w:val="en-AU"/>
        </w:rPr>
        <w:t>two</w:t>
      </w:r>
      <w:r w:rsidR="00441E4A">
        <w:rPr>
          <w:rFonts w:ascii="Times New Roman" w:hAnsi="Times New Roman" w:cs="Times New Roman"/>
          <w:sz w:val="20"/>
          <w:lang w:val="en-AU"/>
        </w:rPr>
        <w:t>-</w:t>
      </w:r>
      <w:r>
        <w:rPr>
          <w:rFonts w:ascii="Times New Roman" w:hAnsi="Times New Roman" w:cs="Times New Roman"/>
          <w:sz w:val="20"/>
          <w:lang w:val="en-AU"/>
        </w:rPr>
        <w:t>level</w:t>
      </w:r>
      <w:r w:rsidR="00441E4A">
        <w:rPr>
          <w:rFonts w:ascii="Times New Roman" w:hAnsi="Times New Roman" w:cs="Times New Roman"/>
          <w:sz w:val="20"/>
          <w:lang w:val="en-AU"/>
        </w:rPr>
        <w:t xml:space="preserve"> mechanism to determine the slot format: semi-static slot configuration via RRC and dynamic slot formation indicator (SFI) via GC-PDCCH (DCI format 2_0). Semi-static slot configuration defines DL, UL, and Flexible symbols which are useful for periodic transmission. </w:t>
      </w:r>
      <w:r w:rsidR="00894815">
        <w:rPr>
          <w:rFonts w:ascii="Times New Roman" w:hAnsi="Times New Roman" w:cs="Times New Roman"/>
          <w:sz w:val="20"/>
          <w:lang w:val="en-AU"/>
        </w:rPr>
        <w:t>In Rel-15, o</w:t>
      </w:r>
      <w:r w:rsidR="00441E4A">
        <w:rPr>
          <w:rFonts w:ascii="Times New Roman" w:hAnsi="Times New Roman" w:cs="Times New Roman"/>
          <w:sz w:val="20"/>
          <w:lang w:val="en-AU"/>
        </w:rPr>
        <w:t>nly semi-static Flexible symbols can be repurposed by dynamic SFI</w:t>
      </w:r>
      <w:r w:rsidR="00894815">
        <w:rPr>
          <w:rFonts w:ascii="Times New Roman" w:hAnsi="Times New Roman" w:cs="Times New Roman"/>
          <w:sz w:val="20"/>
          <w:lang w:val="en-AU"/>
        </w:rPr>
        <w:t xml:space="preserve">. </w:t>
      </w:r>
    </w:p>
    <w:p w14:paraId="06C601F1" w14:textId="06FD35D0" w:rsidR="00894815" w:rsidRPr="002E35F4" w:rsidRDefault="00894815" w:rsidP="005E0FF1">
      <w:pPr>
        <w:spacing w:after="180"/>
        <w:rPr>
          <w:rFonts w:ascii="Times New Roman" w:hAnsi="Times New Roman" w:cs="Times New Roman"/>
          <w:sz w:val="20"/>
          <w:lang w:val="en-AU"/>
        </w:rPr>
      </w:pPr>
      <w:r>
        <w:rPr>
          <w:rFonts w:ascii="Times New Roman" w:hAnsi="Times New Roman" w:cs="Times New Roman"/>
          <w:sz w:val="20"/>
          <w:lang w:val="en-AU"/>
        </w:rPr>
        <w:t xml:space="preserve">For unlicensed band operation being defined in Rel-16, </w:t>
      </w:r>
      <w:r w:rsidR="004B197A">
        <w:rPr>
          <w:rFonts w:ascii="Times New Roman" w:hAnsi="Times New Roman" w:cs="Times New Roman"/>
          <w:sz w:val="20"/>
          <w:lang w:val="en-AU"/>
        </w:rPr>
        <w:t>due to timing uncertainty</w:t>
      </w:r>
      <w:r>
        <w:rPr>
          <w:rFonts w:ascii="Times New Roman" w:hAnsi="Times New Roman" w:cs="Times New Roman"/>
          <w:sz w:val="20"/>
          <w:lang w:val="en-AU"/>
        </w:rPr>
        <w:t xml:space="preserve"> when the channel is available</w:t>
      </w:r>
      <w:r w:rsidR="004B197A">
        <w:rPr>
          <w:rFonts w:ascii="Times New Roman" w:hAnsi="Times New Roman" w:cs="Times New Roman"/>
          <w:sz w:val="20"/>
          <w:lang w:val="en-AU"/>
        </w:rPr>
        <w:t>, to have semi-static configuration of DL/UL symbols is not so efficient.</w:t>
      </w:r>
      <w:r w:rsidR="00E55EBD">
        <w:rPr>
          <w:rFonts w:ascii="Times New Roman" w:hAnsi="Times New Roman" w:cs="Times New Roman"/>
          <w:sz w:val="20"/>
          <w:lang w:val="en-AU"/>
        </w:rPr>
        <w:t xml:space="preserve"> It would be better to decide the resource u</w:t>
      </w:r>
      <w:r w:rsidR="00471B78">
        <w:rPr>
          <w:rFonts w:ascii="Times New Roman" w:hAnsi="Times New Roman" w:cs="Times New Roman"/>
          <w:sz w:val="20"/>
          <w:lang w:val="en-AU"/>
        </w:rPr>
        <w:t>sage after the transmitter, e.g. gNB,</w:t>
      </w:r>
      <w:r w:rsidR="00E55EBD">
        <w:rPr>
          <w:rFonts w:ascii="Times New Roman" w:hAnsi="Times New Roman" w:cs="Times New Roman"/>
          <w:sz w:val="20"/>
          <w:lang w:val="en-AU"/>
        </w:rPr>
        <w:t xml:space="preserve"> has acquired the channel. Therefore, for unlicensed operation</w:t>
      </w:r>
      <w:r w:rsidR="00471B78">
        <w:rPr>
          <w:rFonts w:ascii="Times New Roman" w:hAnsi="Times New Roman" w:cs="Times New Roman"/>
          <w:sz w:val="20"/>
          <w:lang w:val="en-AU"/>
        </w:rPr>
        <w:t>,</w:t>
      </w:r>
      <w:r w:rsidR="00E55EBD">
        <w:rPr>
          <w:rFonts w:ascii="Times New Roman" w:hAnsi="Times New Roman" w:cs="Times New Roman"/>
          <w:sz w:val="20"/>
          <w:lang w:val="en-AU"/>
        </w:rPr>
        <w:t xml:space="preserve"> all symbols can be</w:t>
      </w:r>
      <w:r w:rsidR="00471B78">
        <w:rPr>
          <w:rFonts w:ascii="Times New Roman" w:hAnsi="Times New Roman" w:cs="Times New Roman"/>
          <w:sz w:val="20"/>
          <w:lang w:val="en-AU"/>
        </w:rPr>
        <w:t xml:space="preserve"> defined as</w:t>
      </w:r>
      <w:r w:rsidR="00E55EBD">
        <w:rPr>
          <w:rFonts w:ascii="Times New Roman" w:hAnsi="Times New Roman" w:cs="Times New Roman"/>
          <w:sz w:val="20"/>
          <w:lang w:val="en-AU"/>
        </w:rPr>
        <w:t xml:space="preserve"> semi-static flexible. UE monitors the GC-PDCCH carrying dynamic SFI (and SSB as well to maintain the syn</w:t>
      </w:r>
      <w:r w:rsidR="00DB2658">
        <w:rPr>
          <w:rFonts w:ascii="Times New Roman" w:eastAsia="MS Mincho" w:hAnsi="Times New Roman" w:cs="Times New Roman" w:hint="eastAsia"/>
          <w:sz w:val="20"/>
          <w:lang w:val="en-AU"/>
        </w:rPr>
        <w:t>c</w:t>
      </w:r>
      <w:r w:rsidR="00E55EBD">
        <w:rPr>
          <w:rFonts w:ascii="Times New Roman" w:hAnsi="Times New Roman" w:cs="Times New Roman"/>
          <w:sz w:val="20"/>
          <w:lang w:val="en-AU"/>
        </w:rPr>
        <w:t xml:space="preserve">) according to the configuration. The slot format, hence the resource usage, only becomes specific once the channel occupancy is identified. </w:t>
      </w:r>
    </w:p>
    <w:p w14:paraId="3919B623" w14:textId="7C9B4A4E" w:rsidR="005628C0" w:rsidRDefault="005628C0" w:rsidP="005E0FF1">
      <w:pPr>
        <w:spacing w:after="180"/>
        <w:rPr>
          <w:rFonts w:ascii="Times New Roman" w:hAnsi="Times New Roman" w:cs="Times New Roman"/>
          <w:b/>
          <w:sz w:val="20"/>
        </w:rPr>
      </w:pPr>
      <w:r w:rsidRPr="002E35F4">
        <w:rPr>
          <w:rFonts w:ascii="Times New Roman" w:hAnsi="Times New Roman" w:cs="Times New Roman"/>
          <w:b/>
          <w:sz w:val="20"/>
        </w:rPr>
        <w:t>Proposal 1: COT structure in time domain defines which symbols are DL, UL, and Flexible for one or a few slots, similar to Rel-15 Slot Format Indication.</w:t>
      </w:r>
    </w:p>
    <w:p w14:paraId="6D51A522" w14:textId="614F6767" w:rsidR="00471B78" w:rsidRPr="002E35F4" w:rsidRDefault="00471B78" w:rsidP="005E0FF1">
      <w:pPr>
        <w:spacing w:after="180"/>
        <w:rPr>
          <w:rFonts w:ascii="Times New Roman" w:hAnsi="Times New Roman" w:cs="Times New Roman"/>
          <w:sz w:val="20"/>
          <w:lang w:val="en-AU"/>
        </w:rPr>
      </w:pPr>
      <w:r>
        <w:rPr>
          <w:rFonts w:ascii="Times New Roman" w:hAnsi="Times New Roman" w:cs="Times New Roman"/>
          <w:b/>
          <w:sz w:val="20"/>
        </w:rPr>
        <w:tab/>
        <w:t xml:space="preserve">- all symbols are semi-static flexible in unlicensed option </w:t>
      </w:r>
    </w:p>
    <w:p w14:paraId="1BE39596" w14:textId="244773A7" w:rsidR="004E230D" w:rsidRPr="00155534" w:rsidRDefault="004E230D" w:rsidP="00155534">
      <w:pPr>
        <w:pStyle w:val="Heading4"/>
        <w:ind w:left="0"/>
      </w:pPr>
      <w:r w:rsidRPr="00155534">
        <w:t>2.2 COT</w:t>
      </w:r>
      <w:r w:rsidR="005C1F7D">
        <w:t xml:space="preserve"> duration indication related issues</w:t>
      </w:r>
    </w:p>
    <w:p w14:paraId="6C7707DF" w14:textId="29F36B4D" w:rsidR="00411643" w:rsidRDefault="00411643" w:rsidP="004E230D">
      <w:pPr>
        <w:spacing w:after="180"/>
        <w:rPr>
          <w:rFonts w:ascii="Times New Roman" w:hAnsi="Times New Roman" w:cs="Times New Roman"/>
          <w:sz w:val="20"/>
        </w:rPr>
      </w:pPr>
      <w:r>
        <w:rPr>
          <w:rFonts w:ascii="Times New Roman" w:hAnsi="Times New Roman" w:cs="Times New Roman"/>
          <w:sz w:val="20"/>
        </w:rPr>
        <w:t>In previous meeting, the following agreement has been made regarding the indication of end of COT.</w:t>
      </w:r>
    </w:p>
    <w:tbl>
      <w:tblPr>
        <w:tblStyle w:val="TableGrid"/>
        <w:tblW w:w="0" w:type="auto"/>
        <w:tblLook w:val="04A0" w:firstRow="1" w:lastRow="0" w:firstColumn="1" w:lastColumn="0" w:noHBand="0" w:noVBand="1"/>
      </w:tblPr>
      <w:tblGrid>
        <w:gridCol w:w="9629"/>
      </w:tblGrid>
      <w:tr w:rsidR="00411643" w14:paraId="77F5DC21" w14:textId="77777777" w:rsidTr="00411643">
        <w:tc>
          <w:tcPr>
            <w:tcW w:w="9629" w:type="dxa"/>
          </w:tcPr>
          <w:p w14:paraId="046C74CB" w14:textId="77777777" w:rsidR="00411643" w:rsidRPr="00411643" w:rsidRDefault="00411643" w:rsidP="00411643">
            <w:pPr>
              <w:rPr>
                <w:rFonts w:ascii="Times" w:eastAsia="Batang" w:hAnsi="Times" w:cs="Times New Roman"/>
                <w:sz w:val="20"/>
                <w:szCs w:val="24"/>
                <w:lang w:eastAsia="x-none"/>
              </w:rPr>
            </w:pPr>
            <w:r w:rsidRPr="00411643">
              <w:rPr>
                <w:rFonts w:ascii="Times" w:eastAsia="Batang" w:hAnsi="Times" w:cs="Times New Roman"/>
                <w:sz w:val="20"/>
                <w:szCs w:val="24"/>
                <w:highlight w:val="green"/>
                <w:lang w:eastAsia="x-none"/>
              </w:rPr>
              <w:t>Agreement:</w:t>
            </w:r>
          </w:p>
          <w:p w14:paraId="4FC93D9A" w14:textId="77777777" w:rsidR="00411643" w:rsidRPr="00411643" w:rsidRDefault="00411643" w:rsidP="00411643">
            <w:pPr>
              <w:rPr>
                <w:rFonts w:ascii="Times" w:eastAsia="Batang" w:hAnsi="Times" w:cs="Times New Roman"/>
                <w:sz w:val="20"/>
                <w:szCs w:val="24"/>
                <w:lang w:eastAsia="x-none"/>
              </w:rPr>
            </w:pPr>
            <w:r w:rsidRPr="00411643">
              <w:rPr>
                <w:rFonts w:ascii="Times" w:eastAsia="Batang" w:hAnsi="Times" w:cs="Times New Roman"/>
                <w:sz w:val="20"/>
                <w:szCs w:val="24"/>
                <w:lang w:eastAsia="x-none"/>
              </w:rPr>
              <w:t>Add a COT duration bit-field per serving cell in GC-PDCCH, i.e., DCI format 2_0</w:t>
            </w:r>
          </w:p>
          <w:p w14:paraId="764D1D13" w14:textId="77777777" w:rsidR="00411643" w:rsidRPr="00411643" w:rsidRDefault="00411643" w:rsidP="00411643">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The following are configurable by RRC:</w:t>
            </w:r>
          </w:p>
          <w:p w14:paraId="076163D5" w14:textId="77777777" w:rsidR="00411643" w:rsidRPr="00411643" w:rsidRDefault="00411643" w:rsidP="00411643">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Presence of this bit-field</w:t>
            </w:r>
          </w:p>
          <w:p w14:paraId="3E3F94A8" w14:textId="77777777" w:rsidR="00411643" w:rsidRPr="00411643" w:rsidRDefault="00411643" w:rsidP="00411643">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Location of this bit-field in the DCI</w:t>
            </w:r>
          </w:p>
          <w:p w14:paraId="2836C64D" w14:textId="77777777" w:rsidR="00411643" w:rsidRPr="00411643" w:rsidRDefault="00411643" w:rsidP="00411643">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 xml:space="preserve">Length of this bit-field in the DCI </w:t>
            </w:r>
          </w:p>
          <w:p w14:paraId="58624692" w14:textId="77777777" w:rsidR="00411643" w:rsidRPr="00411643" w:rsidRDefault="00411643" w:rsidP="00411643">
            <w:pPr>
              <w:numPr>
                <w:ilvl w:val="2"/>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lastRenderedPageBreak/>
              <w:t>FFS: Whether a single value will suffice in which case, the length is not configurable</w:t>
            </w:r>
          </w:p>
          <w:p w14:paraId="4D3A3DA2" w14:textId="77777777" w:rsidR="00411643" w:rsidRPr="00411643" w:rsidRDefault="00411643" w:rsidP="00411643">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Encoding of the bit field value, i.e., what COT duration corresponds to which bit-field value</w:t>
            </w:r>
          </w:p>
          <w:p w14:paraId="4E5B4D96" w14:textId="77777777" w:rsidR="00411643" w:rsidRPr="00411643" w:rsidRDefault="00411643" w:rsidP="00411643">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If a UE receives this bit-field, it applies the knowledge about end-of-COT at least for the purpose of UL transmission LBT category switching in a gNB-acquired COT</w:t>
            </w:r>
          </w:p>
          <w:p w14:paraId="1FBC5640" w14:textId="77777777" w:rsidR="00411643" w:rsidRPr="00411643" w:rsidRDefault="00411643" w:rsidP="00411643">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If this field is not present, UE should use SFI indication to determine end-of-COT (if SFI is available)</w:t>
            </w:r>
          </w:p>
          <w:p w14:paraId="1745982A" w14:textId="77777777" w:rsidR="00411643" w:rsidRPr="00411643" w:rsidRDefault="00411643" w:rsidP="00411643">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FFS: details for this SFI-based mechanism</w:t>
            </w:r>
          </w:p>
          <w:p w14:paraId="63EB3E99" w14:textId="77777777" w:rsidR="00411643" w:rsidRPr="00411643" w:rsidRDefault="00411643" w:rsidP="00411643">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411643">
              <w:rPr>
                <w:rFonts w:ascii="Times New Roman" w:eastAsia="SimSun" w:hAnsi="Times New Roman" w:cs="Times New Roman"/>
                <w:sz w:val="20"/>
                <w:szCs w:val="20"/>
              </w:rPr>
              <w:t>FFS: Whether the duration is encoded as e.g., total length or remaining length.</w:t>
            </w:r>
          </w:p>
          <w:p w14:paraId="47CBFEAC" w14:textId="54ED39E7" w:rsidR="00411643" w:rsidRDefault="00411643" w:rsidP="00AA24B3">
            <w:pPr>
              <w:numPr>
                <w:ilvl w:val="0"/>
                <w:numId w:val="33"/>
              </w:numPr>
              <w:overflowPunct w:val="0"/>
              <w:autoSpaceDE w:val="0"/>
              <w:autoSpaceDN w:val="0"/>
              <w:adjustRightInd w:val="0"/>
              <w:spacing w:after="180"/>
              <w:contextualSpacing/>
              <w:textAlignment w:val="baseline"/>
              <w:rPr>
                <w:rFonts w:ascii="Times New Roman" w:hAnsi="Times New Roman" w:cs="Times New Roman"/>
                <w:sz w:val="20"/>
              </w:rPr>
            </w:pPr>
            <w:r w:rsidRPr="00411643">
              <w:rPr>
                <w:rFonts w:ascii="Times New Roman" w:eastAsia="SimSun" w:hAnsi="Times New Roman" w:cs="Times New Roman"/>
                <w:sz w:val="20"/>
                <w:szCs w:val="20"/>
              </w:rPr>
              <w:t>FFS: Granularity the signalled duration</w:t>
            </w:r>
          </w:p>
        </w:tc>
      </w:tr>
    </w:tbl>
    <w:p w14:paraId="7A682B6E" w14:textId="77777777" w:rsidR="00411643" w:rsidRDefault="00411643" w:rsidP="004E230D">
      <w:pPr>
        <w:spacing w:after="180"/>
        <w:rPr>
          <w:rFonts w:ascii="Times New Roman" w:hAnsi="Times New Roman" w:cs="Times New Roman"/>
          <w:sz w:val="20"/>
        </w:rPr>
      </w:pPr>
    </w:p>
    <w:p w14:paraId="4C77D14C" w14:textId="5E3B2AE5" w:rsidR="006F20CB" w:rsidRDefault="00411643" w:rsidP="006F20CB">
      <w:pPr>
        <w:spacing w:after="180"/>
        <w:rPr>
          <w:rFonts w:ascii="Times New Roman" w:hAnsi="Times New Roman" w:cs="Times New Roman"/>
          <w:sz w:val="20"/>
        </w:rPr>
      </w:pPr>
      <w:r>
        <w:rPr>
          <w:rFonts w:ascii="Times New Roman" w:hAnsi="Times New Roman" w:cs="Times New Roman"/>
          <w:sz w:val="20"/>
        </w:rPr>
        <w:t>There are still a few open issues in the above agreement. Regarding the granularity of the signalled duration, it is sufficient for UE to know which slot is the ending slot instead of ending symbol within a slot. In other words, slot-level granularity is sufficient. The reasons are the following. We see two main use cases for the COT duration indication. One is, as menti</w:t>
      </w:r>
      <w:r w:rsidR="008F773C">
        <w:rPr>
          <w:rFonts w:ascii="Times New Roman" w:hAnsi="Times New Roman" w:cs="Times New Roman"/>
          <w:sz w:val="20"/>
        </w:rPr>
        <w:t xml:space="preserve">oned in the above agreement, for the purpose of UL transmission LBT category switching between in/outside gNB-acquired COT. The other one is search space set group switching, e.g. mini-slot PDCCH monitoring outside COT and slot-based PDCCH monitoring within the COT. For both use cases, it would significantly </w:t>
      </w:r>
      <w:r w:rsidR="00DC561F">
        <w:rPr>
          <w:rFonts w:ascii="Times New Roman" w:hAnsi="Times New Roman" w:cs="Times New Roman"/>
          <w:sz w:val="20"/>
        </w:rPr>
        <w:t xml:space="preserve">ease </w:t>
      </w:r>
      <w:r w:rsidR="008F773C">
        <w:rPr>
          <w:rFonts w:ascii="Times New Roman" w:hAnsi="Times New Roman" w:cs="Times New Roman"/>
          <w:sz w:val="20"/>
        </w:rPr>
        <w:t xml:space="preserve">the implementation </w:t>
      </w:r>
      <w:r w:rsidR="00DC561F">
        <w:rPr>
          <w:rFonts w:ascii="Times New Roman" w:hAnsi="Times New Roman" w:cs="Times New Roman"/>
          <w:sz w:val="20"/>
        </w:rPr>
        <w:t xml:space="preserve">complexity </w:t>
      </w:r>
      <w:r w:rsidR="008F773C">
        <w:rPr>
          <w:rFonts w:ascii="Times New Roman" w:hAnsi="Times New Roman" w:cs="Times New Roman"/>
          <w:sz w:val="20"/>
        </w:rPr>
        <w:t>if the above-mentioned switching only occurs at the slot boundary. Therefore, it is sufficient for UE to know the COT duration by a slot granularity</w:t>
      </w:r>
      <w:r w:rsidR="00816161">
        <w:rPr>
          <w:rFonts w:ascii="Times New Roman" w:hAnsi="Times New Roman" w:cs="Times New Roman"/>
          <w:sz w:val="20"/>
        </w:rPr>
        <w:t xml:space="preserve"> in Rel-16</w:t>
      </w:r>
      <w:r w:rsidR="008F773C">
        <w:rPr>
          <w:rFonts w:ascii="Times New Roman" w:hAnsi="Times New Roman" w:cs="Times New Roman"/>
          <w:sz w:val="20"/>
        </w:rPr>
        <w:t>.</w:t>
      </w:r>
      <w:r w:rsidR="006F20CB">
        <w:rPr>
          <w:rFonts w:ascii="Times New Roman" w:hAnsi="Times New Roman" w:cs="Times New Roman"/>
          <w:sz w:val="20"/>
        </w:rPr>
        <w:t xml:space="preserve"> Further optimization using finer granularity can be considered in </w:t>
      </w:r>
      <w:r w:rsidR="00DC561F">
        <w:rPr>
          <w:rFonts w:ascii="Times New Roman" w:hAnsi="Times New Roman" w:cs="Times New Roman"/>
          <w:sz w:val="20"/>
        </w:rPr>
        <w:t>future</w:t>
      </w:r>
      <w:r w:rsidR="006F20CB">
        <w:rPr>
          <w:rFonts w:ascii="Times New Roman" w:hAnsi="Times New Roman" w:cs="Times New Roman"/>
          <w:sz w:val="20"/>
        </w:rPr>
        <w:t xml:space="preserve"> release </w:t>
      </w:r>
      <w:r w:rsidR="00DC561F">
        <w:rPr>
          <w:rFonts w:ascii="Times New Roman" w:hAnsi="Times New Roman" w:cs="Times New Roman"/>
          <w:sz w:val="20"/>
        </w:rPr>
        <w:t>if</w:t>
      </w:r>
      <w:r w:rsidR="006F20CB">
        <w:rPr>
          <w:rFonts w:ascii="Times New Roman" w:hAnsi="Times New Roman" w:cs="Times New Roman"/>
          <w:sz w:val="20"/>
        </w:rPr>
        <w:t xml:space="preserve"> </w:t>
      </w:r>
      <w:r w:rsidR="00DC561F">
        <w:rPr>
          <w:rFonts w:ascii="Times New Roman" w:hAnsi="Times New Roman" w:cs="Times New Roman"/>
          <w:sz w:val="20"/>
        </w:rPr>
        <w:t xml:space="preserve">such </w:t>
      </w:r>
      <w:r w:rsidR="006F20CB">
        <w:rPr>
          <w:rFonts w:ascii="Times New Roman" w:hAnsi="Times New Roman" w:cs="Times New Roman"/>
          <w:sz w:val="20"/>
        </w:rPr>
        <w:t xml:space="preserve">use cases are identified. </w:t>
      </w:r>
      <w:r w:rsidR="006F20CB">
        <w:rPr>
          <w:rFonts w:ascii="Times New Roman" w:hAnsi="Times New Roman" w:cs="Times New Roman"/>
          <w:sz w:val="20"/>
          <w:lang w:val="en-AU"/>
        </w:rPr>
        <w:t>Note that even if the COT duration indication has slot granularity, by handling the assignment by PDCCH on PDSCH/PUSCH, the end of COT itself can be in the middle of the slot.</w:t>
      </w:r>
    </w:p>
    <w:p w14:paraId="20F921FE" w14:textId="138CE052" w:rsidR="009E1560" w:rsidRDefault="006F20CB" w:rsidP="004E230D">
      <w:pPr>
        <w:spacing w:after="180"/>
        <w:rPr>
          <w:rFonts w:ascii="Times New Roman" w:hAnsi="Times New Roman" w:cs="Times New Roman"/>
          <w:sz w:val="20"/>
        </w:rPr>
      </w:pPr>
      <w:r>
        <w:rPr>
          <w:rFonts w:ascii="Times New Roman" w:hAnsi="Times New Roman" w:cs="Times New Roman"/>
          <w:b/>
          <w:sz w:val="20"/>
        </w:rPr>
        <w:t>Proposal 2</w:t>
      </w:r>
      <w:r w:rsidRPr="002E35F4">
        <w:rPr>
          <w:rFonts w:ascii="Times New Roman" w:hAnsi="Times New Roman" w:cs="Times New Roman"/>
          <w:b/>
          <w:sz w:val="20"/>
        </w:rPr>
        <w:t xml:space="preserve">: </w:t>
      </w:r>
      <w:r>
        <w:rPr>
          <w:rFonts w:ascii="Times New Roman" w:hAnsi="Times New Roman" w:cs="Times New Roman"/>
          <w:b/>
          <w:sz w:val="20"/>
        </w:rPr>
        <w:t>COT duration indication has slot-level granularity in Rel-16.</w:t>
      </w:r>
    </w:p>
    <w:p w14:paraId="022E1C0A" w14:textId="257A154E" w:rsidR="008F773C" w:rsidRDefault="00816161" w:rsidP="004E230D">
      <w:pPr>
        <w:spacing w:after="180"/>
        <w:rPr>
          <w:rFonts w:ascii="Times New Roman" w:hAnsi="Times New Roman" w:cs="Times New Roman"/>
          <w:sz w:val="20"/>
        </w:rPr>
      </w:pPr>
      <w:r>
        <w:rPr>
          <w:rFonts w:ascii="Times New Roman" w:hAnsi="Times New Roman" w:cs="Times New Roman"/>
          <w:sz w:val="20"/>
        </w:rPr>
        <w:t xml:space="preserve">Another open issue is whether the duration is encoded as total length or remaining length. In our opinion, either option can work. However, it is more important that the duration of COT can be dynamically updated. At the beginning when gNB has acquired the COT, it is not necessary for gNB to plan the </w:t>
      </w:r>
      <w:r w:rsidR="00165142">
        <w:rPr>
          <w:rFonts w:ascii="Times New Roman" w:hAnsi="Times New Roman" w:cs="Times New Roman"/>
          <w:sz w:val="20"/>
        </w:rPr>
        <w:t xml:space="preserve">maximum COT duration and the corresponding COT structure. To better adapt to the traffic variation, it is more efficient that gNB only plan one or a few slots ahead, and then decide later whether to extend the COT and the corresponding usage of the resources (aka COT structure). To enable such flexibility, the GC-PDCCH received later should be able to overwrite the COT duration received in earlier GC-PDCCH. </w:t>
      </w:r>
    </w:p>
    <w:p w14:paraId="0403F08F" w14:textId="2C780148" w:rsidR="005C1F7D" w:rsidRDefault="009E1560" w:rsidP="009E1560">
      <w:pPr>
        <w:spacing w:after="180"/>
        <w:rPr>
          <w:rFonts w:ascii="Times New Roman" w:hAnsi="Times New Roman" w:cs="Times New Roman"/>
          <w:sz w:val="20"/>
        </w:rPr>
      </w:pPr>
      <w:r w:rsidRPr="00AA24B3">
        <w:rPr>
          <w:rFonts w:ascii="Times New Roman" w:hAnsi="Times New Roman" w:cs="Times New Roman"/>
          <w:b/>
          <w:sz w:val="20"/>
        </w:rPr>
        <w:t>Proposal 3: COT duration shoul</w:t>
      </w:r>
      <w:r w:rsidR="005C1F7D" w:rsidRPr="005C1F7D">
        <w:rPr>
          <w:rFonts w:ascii="Times New Roman" w:hAnsi="Times New Roman" w:cs="Times New Roman"/>
          <w:b/>
          <w:sz w:val="20"/>
        </w:rPr>
        <w:t>d be able to dynamically update</w:t>
      </w:r>
      <w:r w:rsidRPr="00AA24B3">
        <w:rPr>
          <w:rFonts w:ascii="Times New Roman" w:hAnsi="Times New Roman" w:cs="Times New Roman"/>
          <w:b/>
          <w:sz w:val="20"/>
        </w:rPr>
        <w:t>.</w:t>
      </w:r>
    </w:p>
    <w:p w14:paraId="5F44930D" w14:textId="2A6B0837" w:rsidR="009E1560" w:rsidRPr="009E1560" w:rsidRDefault="009E1560" w:rsidP="009E1560">
      <w:pPr>
        <w:spacing w:after="180"/>
        <w:rPr>
          <w:rFonts w:ascii="Times New Roman" w:hAnsi="Times New Roman" w:cs="Times New Roman"/>
          <w:sz w:val="20"/>
        </w:rPr>
      </w:pPr>
      <w:r>
        <w:rPr>
          <w:rFonts w:ascii="Times New Roman" w:hAnsi="Times New Roman" w:cs="Times New Roman"/>
          <w:sz w:val="20"/>
        </w:rPr>
        <w:t xml:space="preserve">Yet another open issue is, if the bit-field of COT duration is not present, how UE can determine the end-of-COT using SFI indication. </w:t>
      </w:r>
      <w:r>
        <w:rPr>
          <w:rFonts w:ascii="Times New Roman" w:hAnsi="Times New Roman" w:cs="Times New Roman"/>
          <w:sz w:val="20"/>
          <w:lang w:val="en-AU"/>
        </w:rPr>
        <w:t xml:space="preserve">A straightforward solution is to define a specific SFI index in the RRC configured SFI table to represent this current slot is end-of-COT (or, out-of-COT). </w:t>
      </w:r>
      <w:r w:rsidRPr="009E1560">
        <w:rPr>
          <w:rFonts w:ascii="Times New Roman" w:hAnsi="Times New Roman" w:cs="Times New Roman"/>
          <w:sz w:val="20"/>
        </w:rPr>
        <w:t>For example, one GC-PDCCH indicates SFI for consecutiv</w:t>
      </w:r>
      <w:r>
        <w:rPr>
          <w:rFonts w:ascii="Times New Roman" w:hAnsi="Times New Roman" w:cs="Times New Roman"/>
          <w:sz w:val="20"/>
        </w:rPr>
        <w:t>e 3 slots, and COT ends at the 5</w:t>
      </w:r>
      <w:r w:rsidRPr="009E1560">
        <w:rPr>
          <w:rFonts w:ascii="Times New Roman" w:hAnsi="Times New Roman" w:cs="Times New Roman"/>
          <w:sz w:val="20"/>
          <w:vertAlign w:val="superscript"/>
        </w:rPr>
        <w:t>th</w:t>
      </w:r>
      <w:r w:rsidRPr="009E1560">
        <w:rPr>
          <w:rFonts w:ascii="Times New Roman" w:hAnsi="Times New Roman" w:cs="Times New Roman"/>
          <w:sz w:val="20"/>
        </w:rPr>
        <w:t xml:space="preserve"> symbol of the second slot</w:t>
      </w:r>
      <w:r>
        <w:rPr>
          <w:rFonts w:ascii="Times New Roman" w:hAnsi="Times New Roman" w:cs="Times New Roman"/>
          <w:sz w:val="20"/>
        </w:rPr>
        <w:t xml:space="preserve"> (while the first 4 symbols in second slot are UL)</w:t>
      </w:r>
      <w:r w:rsidRPr="009E1560">
        <w:rPr>
          <w:rFonts w:ascii="Times New Roman" w:hAnsi="Times New Roman" w:cs="Times New Roman"/>
          <w:sz w:val="20"/>
        </w:rPr>
        <w:t>. The GC-PDCCH would look like:</w:t>
      </w:r>
    </w:p>
    <w:p w14:paraId="33B6F8E3" w14:textId="64CA35E2" w:rsidR="009E1560" w:rsidRDefault="009E1560" w:rsidP="009E1560">
      <w:pPr>
        <w:spacing w:after="180"/>
        <w:rPr>
          <w:rFonts w:ascii="Times New Roman" w:hAnsi="Times New Roman" w:cs="Times New Roman"/>
          <w:sz w:val="20"/>
        </w:rPr>
      </w:pPr>
      <w:r w:rsidRPr="009E1560">
        <w:rPr>
          <w:rFonts w:ascii="Times New Roman" w:hAnsi="Times New Roman" w:cs="Times New Roman"/>
          <w:sz w:val="20"/>
        </w:rPr>
        <w:t>DDDDDDDDDDDDDD; UUUUFFFFFFFFFF; out-of-COT</w:t>
      </w:r>
    </w:p>
    <w:p w14:paraId="17AD74A2" w14:textId="09F95185" w:rsidR="005C1F7D" w:rsidRDefault="005C1F7D" w:rsidP="005C1F7D">
      <w:pPr>
        <w:spacing w:after="180"/>
        <w:rPr>
          <w:rFonts w:ascii="Times New Roman" w:hAnsi="Times New Roman" w:cs="Times New Roman"/>
          <w:sz w:val="20"/>
        </w:rPr>
      </w:pPr>
      <w:r>
        <w:rPr>
          <w:rFonts w:ascii="Times New Roman" w:hAnsi="Times New Roman" w:cs="Times New Roman"/>
          <w:sz w:val="20"/>
        </w:rPr>
        <w:t xml:space="preserve">The dynamic update also applies to SFI. However, to improve </w:t>
      </w:r>
      <w:r>
        <w:rPr>
          <w:rFonts w:ascii="Times New Roman" w:hAnsi="Times New Roman" w:cs="Times New Roman"/>
          <w:sz w:val="20"/>
          <w:lang w:val="en-AU"/>
        </w:rPr>
        <w:t xml:space="preserve">reliability, the update can be performed in a partial overlapping manner. For example, the first GC-PDCCH indicates COT structure for slots#0,#1,#2, and the next GC-PDCCH indicates slots#1,#2,#3, where the indication for slots#1 and #2 is the same as the previous GC-PDCCH, with only slot#3 is updated. If COT ends in slot#3, then the next GC-PDCCH indicates slots#2,#3,#4, where slot#4 is pointed to a “out-of-COT” SFI index. Such operation is also necessary when UE wakes-up in the middle of COT by DRX operation. </w:t>
      </w:r>
      <w:r>
        <w:rPr>
          <w:rFonts w:ascii="Times New Roman" w:hAnsi="Times New Roman" w:cs="Times New Roman"/>
          <w:sz w:val="20"/>
        </w:rPr>
        <w:t xml:space="preserve"> </w:t>
      </w:r>
    </w:p>
    <w:p w14:paraId="2293F8A0" w14:textId="59B9B3C2" w:rsidR="005C1F7D" w:rsidRDefault="005C1F7D" w:rsidP="005C1F7D">
      <w:pPr>
        <w:pStyle w:val="BodyText"/>
        <w:spacing w:after="180"/>
        <w:rPr>
          <w:rFonts w:ascii="Times New Roman" w:hAnsi="Times New Roman" w:cs="Times New Roman"/>
          <w:b/>
          <w:sz w:val="20"/>
        </w:rPr>
      </w:pPr>
      <w:r>
        <w:rPr>
          <w:rFonts w:ascii="Times New Roman" w:hAnsi="Times New Roman" w:cs="Times New Roman"/>
          <w:b/>
          <w:sz w:val="20"/>
        </w:rPr>
        <w:t>Proposal 4: One GC-PDCCH indicates SFI for a few consecutive slots, which contents partially overlapping to improve the robustness.</w:t>
      </w:r>
      <w:r w:rsidRPr="002E35F4">
        <w:rPr>
          <w:rFonts w:ascii="Times New Roman" w:hAnsi="Times New Roman" w:cs="Times New Roman"/>
          <w:b/>
          <w:sz w:val="20"/>
        </w:rPr>
        <w:t xml:space="preserve">  </w:t>
      </w:r>
    </w:p>
    <w:p w14:paraId="76966791" w14:textId="24572E8A" w:rsidR="009E1560" w:rsidRDefault="009E1560" w:rsidP="004E230D">
      <w:pPr>
        <w:spacing w:after="180"/>
        <w:rPr>
          <w:rFonts w:ascii="Times New Roman" w:hAnsi="Times New Roman" w:cs="Times New Roman"/>
          <w:sz w:val="20"/>
        </w:rPr>
      </w:pPr>
    </w:p>
    <w:p w14:paraId="03E8D488" w14:textId="77777777" w:rsidR="00411643" w:rsidRDefault="00411643" w:rsidP="004E230D">
      <w:pPr>
        <w:spacing w:after="180"/>
        <w:rPr>
          <w:rFonts w:ascii="Times New Roman" w:hAnsi="Times New Roman" w:cs="Times New Roman"/>
          <w:sz w:val="20"/>
        </w:rPr>
      </w:pPr>
    </w:p>
    <w:p w14:paraId="38F86F2F" w14:textId="77777777" w:rsidR="00411643" w:rsidRDefault="00411643" w:rsidP="004E230D">
      <w:pPr>
        <w:spacing w:after="180"/>
        <w:rPr>
          <w:rFonts w:ascii="Times New Roman" w:hAnsi="Times New Roman" w:cs="Times New Roman"/>
          <w:sz w:val="20"/>
        </w:rPr>
      </w:pPr>
    </w:p>
    <w:p w14:paraId="7B219CFC" w14:textId="77777777" w:rsidR="00411643" w:rsidRDefault="00411643" w:rsidP="004E230D">
      <w:pPr>
        <w:spacing w:after="180"/>
        <w:rPr>
          <w:rFonts w:ascii="Times New Roman" w:hAnsi="Times New Roman" w:cs="Times New Roman"/>
          <w:sz w:val="20"/>
        </w:rPr>
      </w:pPr>
    </w:p>
    <w:p w14:paraId="4CB8A368" w14:textId="4A500E1F" w:rsidR="005628C0" w:rsidRDefault="00D36CAE" w:rsidP="00155534">
      <w:pPr>
        <w:pStyle w:val="Heading4"/>
        <w:ind w:left="0"/>
      </w:pPr>
      <w:r>
        <w:t>2.3</w:t>
      </w:r>
      <w:r w:rsidR="00744FE4">
        <w:t xml:space="preserve"> </w:t>
      </w:r>
      <w:r w:rsidR="005B0E15">
        <w:t>Cat1/</w:t>
      </w:r>
      <w:r w:rsidR="00744FE4">
        <w:t>Cat2/Cat4 switching</w:t>
      </w:r>
    </w:p>
    <w:p w14:paraId="7CC660D9" w14:textId="6F7167D5" w:rsidR="00744FE4" w:rsidRDefault="005B0E15" w:rsidP="005E0FF1">
      <w:pPr>
        <w:spacing w:after="180"/>
        <w:rPr>
          <w:rFonts w:ascii="Times New Roman" w:hAnsi="Times New Roman" w:cs="Times New Roman"/>
          <w:sz w:val="20"/>
          <w:lang w:val="en-AU"/>
        </w:rPr>
      </w:pPr>
      <w:r w:rsidRPr="00155534">
        <w:rPr>
          <w:rFonts w:ascii="Times New Roman" w:hAnsi="Times New Roman" w:cs="Times New Roman"/>
          <w:sz w:val="20"/>
          <w:lang w:val="en-AU"/>
        </w:rPr>
        <w:t xml:space="preserve">For NR-U UL transmission, </w:t>
      </w:r>
      <w:r>
        <w:rPr>
          <w:rFonts w:ascii="Times New Roman" w:hAnsi="Times New Roman" w:cs="Times New Roman"/>
          <w:sz w:val="20"/>
          <w:lang w:val="en-AU"/>
        </w:rPr>
        <w:t xml:space="preserve">if it is outside gNB’s COT, </w:t>
      </w:r>
      <w:r w:rsidRPr="005B0E15">
        <w:rPr>
          <w:rFonts w:ascii="Times New Roman" w:hAnsi="Times New Roman" w:cs="Times New Roman"/>
          <w:sz w:val="20"/>
          <w:lang w:val="en-AU"/>
        </w:rPr>
        <w:t>Cat-4 LBT should be used for UE to initiate a C</w:t>
      </w:r>
      <w:r>
        <w:rPr>
          <w:rFonts w:ascii="Times New Roman" w:hAnsi="Times New Roman" w:cs="Times New Roman"/>
          <w:sz w:val="20"/>
          <w:lang w:val="en-AU"/>
        </w:rPr>
        <w:t>OT</w:t>
      </w:r>
      <w:r w:rsidRPr="005B0E15">
        <w:rPr>
          <w:rFonts w:ascii="Times New Roman" w:hAnsi="Times New Roman" w:cs="Times New Roman"/>
          <w:sz w:val="20"/>
          <w:lang w:val="en-AU"/>
        </w:rPr>
        <w:t>; otherwise Cat-2 LBT or Cat-1 LBT sho</w:t>
      </w:r>
      <w:r>
        <w:rPr>
          <w:rFonts w:ascii="Times New Roman" w:hAnsi="Times New Roman" w:cs="Times New Roman"/>
          <w:sz w:val="20"/>
          <w:lang w:val="en-AU"/>
        </w:rPr>
        <w:t>uld be used depending on the gap</w:t>
      </w:r>
      <w:r w:rsidRPr="005B0E15">
        <w:rPr>
          <w:rFonts w:ascii="Times New Roman" w:hAnsi="Times New Roman" w:cs="Times New Roman"/>
          <w:sz w:val="20"/>
          <w:lang w:val="en-AU"/>
        </w:rPr>
        <w:t>.</w:t>
      </w:r>
      <w:r>
        <w:rPr>
          <w:rFonts w:ascii="Times New Roman" w:hAnsi="Times New Roman" w:cs="Times New Roman"/>
          <w:sz w:val="20"/>
          <w:lang w:val="en-AU"/>
        </w:rPr>
        <w:t xml:space="preserve"> If UE intended UL transmission is not informed about the gNB’s COT, wrong LBT category may be assumed by the UE, which leads to unnecessary failure of the LBT. </w:t>
      </w:r>
      <w:r w:rsidRPr="005B0E15">
        <w:rPr>
          <w:rFonts w:ascii="Times New Roman" w:hAnsi="Times New Roman" w:cs="Times New Roman"/>
          <w:sz w:val="20"/>
          <w:lang w:val="en-AU"/>
        </w:rPr>
        <w:t xml:space="preserve">The issue can be illustrated by the following </w:t>
      </w:r>
      <w:r>
        <w:rPr>
          <w:rFonts w:ascii="Times New Roman" w:hAnsi="Times New Roman" w:cs="Times New Roman"/>
          <w:sz w:val="20"/>
          <w:lang w:val="en-AU"/>
        </w:rPr>
        <w:t>F</w:t>
      </w:r>
      <w:r w:rsidR="008614C3">
        <w:rPr>
          <w:rFonts w:ascii="Times New Roman" w:hAnsi="Times New Roman" w:cs="Times New Roman"/>
          <w:sz w:val="20"/>
          <w:lang w:val="en-AU"/>
        </w:rPr>
        <w:t>ig.</w:t>
      </w:r>
      <w:r w:rsidRPr="005B0E15">
        <w:rPr>
          <w:rFonts w:ascii="Times New Roman" w:hAnsi="Times New Roman" w:cs="Times New Roman"/>
          <w:sz w:val="20"/>
          <w:lang w:val="en-AU"/>
        </w:rPr>
        <w:t xml:space="preserve"> 1.</w:t>
      </w:r>
    </w:p>
    <w:p w14:paraId="59FFC72D" w14:textId="77777777" w:rsidR="008614C3" w:rsidRDefault="008614C3" w:rsidP="008614C3">
      <w:pPr>
        <w:jc w:val="center"/>
      </w:pPr>
      <w:r>
        <w:object w:dxaOrig="8546" w:dyaOrig="2392" w14:anchorId="0EB1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15pt;height:89.55pt" o:ole="">
            <v:imagedata r:id="rId11" o:title=""/>
          </v:shape>
          <o:OLEObject Type="Embed" ProgID="Visio.Drawing.15" ShapeID="_x0000_i1025" DrawAspect="Content" ObjectID="_1634728533" r:id="rId12"/>
        </w:object>
      </w:r>
    </w:p>
    <w:p w14:paraId="4488EAE8" w14:textId="77777777" w:rsidR="008614C3" w:rsidRDefault="008614C3" w:rsidP="008614C3">
      <w:pPr>
        <w:jc w:val="center"/>
        <w:rPr>
          <w:rFonts w:ascii="Times New Roman" w:hAnsi="Times New Roman"/>
        </w:rPr>
      </w:pPr>
    </w:p>
    <w:p w14:paraId="53A88CCA" w14:textId="77777777" w:rsidR="008614C3" w:rsidRPr="00155534" w:rsidRDefault="008614C3" w:rsidP="008614C3">
      <w:pPr>
        <w:jc w:val="center"/>
        <w:rPr>
          <w:rFonts w:ascii="Times New Roman" w:hAnsi="Times New Roman" w:cs="Times New Roman"/>
          <w:sz w:val="20"/>
          <w:lang w:val="en-AU"/>
        </w:rPr>
      </w:pPr>
      <w:r w:rsidRPr="00155534">
        <w:rPr>
          <w:rFonts w:ascii="Times New Roman" w:hAnsi="Times New Roman" w:cs="Times New Roman"/>
          <w:sz w:val="20"/>
          <w:lang w:val="en-AU"/>
        </w:rPr>
        <w:t>Fig. 1 CCA for PRACH is blocked unnecessarily without COT info</w:t>
      </w:r>
    </w:p>
    <w:p w14:paraId="042DF84E" w14:textId="77777777" w:rsidR="008614C3" w:rsidRDefault="008614C3" w:rsidP="008614C3">
      <w:pPr>
        <w:rPr>
          <w:rFonts w:ascii="Times New Roman" w:hAnsi="Times New Roman"/>
          <w:b/>
          <w:sz w:val="24"/>
          <w:u w:val="single"/>
        </w:rPr>
      </w:pPr>
    </w:p>
    <w:p w14:paraId="65514932" w14:textId="7E0DB763" w:rsidR="005B0E15" w:rsidRDefault="008614C3" w:rsidP="00EA19A7">
      <w:pPr>
        <w:rPr>
          <w:rFonts w:ascii="Times New Roman" w:hAnsi="Times New Roman" w:cs="Times New Roman"/>
          <w:sz w:val="20"/>
        </w:rPr>
      </w:pPr>
      <w:r w:rsidRPr="00155534">
        <w:rPr>
          <w:rFonts w:ascii="Times New Roman" w:hAnsi="Times New Roman" w:cs="Times New Roman"/>
          <w:sz w:val="20"/>
          <w:lang w:val="en-AU"/>
        </w:rPr>
        <w:t xml:space="preserve">In Fig.1, without knowing the existence of gNB’s COT, Cat-4 LBT is used for the UE to initiate PRACH transmission. Unfortunately, this LBT would be blocked by gNB’s DL transmission. Such blocking can be avoided if UE knows the correct LBT category, in this example, Cat-2 with 16us. </w:t>
      </w:r>
    </w:p>
    <w:p w14:paraId="7C3F869A" w14:textId="3408337A" w:rsidR="008614C3" w:rsidRDefault="00033576" w:rsidP="005E0FF1">
      <w:pPr>
        <w:spacing w:after="180"/>
        <w:rPr>
          <w:rFonts w:ascii="Times New Roman" w:hAnsi="Times New Roman" w:cs="Times New Roman"/>
          <w:sz w:val="20"/>
        </w:rPr>
      </w:pPr>
      <w:r>
        <w:rPr>
          <w:rFonts w:ascii="Times New Roman" w:hAnsi="Times New Roman" w:cs="Times New Roman"/>
          <w:sz w:val="20"/>
        </w:rPr>
        <w:t xml:space="preserve">In the previous meeting, to include COT duration or end-of-COT indication in the GC-PDCCH has been agreed, as mentioned in the above section. However, by knowing whether the intended UL transmission is within the COT or not is not sufficient for UE to apply correct gap for LBT. </w:t>
      </w:r>
      <w:r w:rsidR="008614C3">
        <w:rPr>
          <w:rFonts w:ascii="Times New Roman" w:hAnsi="Times New Roman" w:cs="Times New Roman"/>
          <w:sz w:val="20"/>
        </w:rPr>
        <w:t xml:space="preserve">Since NR-U supports multiple gap durations for Cat-2 LBT, not only the LBT category but also the gap duration should be indicated to the UE. One example is to use the following table: </w:t>
      </w:r>
    </w:p>
    <w:p w14:paraId="7C61999D" w14:textId="063A378D" w:rsidR="00073502" w:rsidRPr="00073502" w:rsidRDefault="00AD3E61" w:rsidP="00073502">
      <w:pPr>
        <w:spacing w:after="180"/>
        <w:jc w:val="center"/>
        <w:rPr>
          <w:rFonts w:ascii="Times New Roman" w:hAnsi="Times New Roman" w:cs="Times New Roman"/>
          <w:b/>
          <w:sz w:val="20"/>
        </w:rPr>
      </w:pPr>
      <w:r>
        <w:rPr>
          <w:rFonts w:ascii="Times New Roman" w:hAnsi="Times New Roman" w:cs="Times New Roman"/>
          <w:b/>
          <w:sz w:val="20"/>
        </w:rPr>
        <w:t>Table 1.</w:t>
      </w:r>
      <w:r w:rsidR="00073502">
        <w:rPr>
          <w:rFonts w:ascii="Times New Roman" w:hAnsi="Times New Roman" w:cs="Times New Roman"/>
          <w:b/>
          <w:sz w:val="20"/>
        </w:rPr>
        <w:t xml:space="preserve"> </w:t>
      </w:r>
      <w:r>
        <w:rPr>
          <w:rFonts w:ascii="Times New Roman" w:hAnsi="Times New Roman" w:cs="Times New Roman"/>
          <w:b/>
          <w:sz w:val="20"/>
        </w:rPr>
        <w:t>E</w:t>
      </w:r>
      <w:r w:rsidR="00073502">
        <w:rPr>
          <w:rFonts w:ascii="Times New Roman" w:hAnsi="Times New Roman" w:cs="Times New Roman"/>
          <w:b/>
          <w:sz w:val="20"/>
        </w:rPr>
        <w:t>xample of index and gap duration</w:t>
      </w:r>
    </w:p>
    <w:tbl>
      <w:tblPr>
        <w:tblStyle w:val="TableGrid"/>
        <w:tblW w:w="5670" w:type="dxa"/>
        <w:tblInd w:w="2263" w:type="dxa"/>
        <w:tblLook w:val="04A0" w:firstRow="1" w:lastRow="0" w:firstColumn="1" w:lastColumn="0" w:noHBand="0" w:noVBand="1"/>
      </w:tblPr>
      <w:tblGrid>
        <w:gridCol w:w="2410"/>
        <w:gridCol w:w="3260"/>
      </w:tblGrid>
      <w:tr w:rsidR="008614C3" w:rsidRPr="008614C3" w14:paraId="02A048EE" w14:textId="77777777" w:rsidTr="00155534">
        <w:tc>
          <w:tcPr>
            <w:tcW w:w="2410" w:type="dxa"/>
          </w:tcPr>
          <w:p w14:paraId="434F8EB8" w14:textId="31AAF9B9"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Index</w:t>
            </w:r>
          </w:p>
        </w:tc>
        <w:tc>
          <w:tcPr>
            <w:tcW w:w="3260" w:type="dxa"/>
          </w:tcPr>
          <w:p w14:paraId="5E231317"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Gap duration, LBT</w:t>
            </w:r>
            <w:r w:rsidRPr="008614C3">
              <w:rPr>
                <w:rFonts w:ascii="Times New Roman" w:hAnsi="Times New Roman" w:cs="Times New Roman"/>
                <w:sz w:val="20"/>
                <w:lang w:val="en-US"/>
              </w:rPr>
              <w:br/>
              <w:t>Category</w:t>
            </w:r>
          </w:p>
        </w:tc>
      </w:tr>
      <w:tr w:rsidR="008614C3" w:rsidRPr="008614C3" w14:paraId="51F63D62" w14:textId="77777777" w:rsidTr="00155534">
        <w:tc>
          <w:tcPr>
            <w:tcW w:w="2410" w:type="dxa"/>
          </w:tcPr>
          <w:p w14:paraId="5A1A7155" w14:textId="76C8569E"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0</w:t>
            </w:r>
          </w:p>
        </w:tc>
        <w:tc>
          <w:tcPr>
            <w:tcW w:w="3260" w:type="dxa"/>
          </w:tcPr>
          <w:p w14:paraId="437A9D6D"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16μs, LBT Cat. 1</w:t>
            </w:r>
          </w:p>
        </w:tc>
      </w:tr>
      <w:tr w:rsidR="008614C3" w:rsidRPr="008614C3" w14:paraId="6A10833E" w14:textId="77777777" w:rsidTr="00155534">
        <w:tc>
          <w:tcPr>
            <w:tcW w:w="2410" w:type="dxa"/>
          </w:tcPr>
          <w:p w14:paraId="6E9DA9D2" w14:textId="61D91E86"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1</w:t>
            </w:r>
          </w:p>
        </w:tc>
        <w:tc>
          <w:tcPr>
            <w:tcW w:w="3260" w:type="dxa"/>
          </w:tcPr>
          <w:p w14:paraId="3188D999"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16μs, LBT Cat. 2</w:t>
            </w:r>
          </w:p>
        </w:tc>
      </w:tr>
      <w:tr w:rsidR="008614C3" w:rsidRPr="008614C3" w14:paraId="0B8F6595" w14:textId="77777777" w:rsidTr="00155534">
        <w:tc>
          <w:tcPr>
            <w:tcW w:w="2410" w:type="dxa"/>
          </w:tcPr>
          <w:p w14:paraId="1687D85D" w14:textId="5892BC10"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2</w:t>
            </w:r>
          </w:p>
        </w:tc>
        <w:tc>
          <w:tcPr>
            <w:tcW w:w="3260" w:type="dxa"/>
          </w:tcPr>
          <w:p w14:paraId="74841E68"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25μs, LBT Cat 2</w:t>
            </w:r>
          </w:p>
        </w:tc>
      </w:tr>
      <w:tr w:rsidR="008614C3" w:rsidRPr="008614C3" w14:paraId="4F69DAE5" w14:textId="77777777" w:rsidTr="00155534">
        <w:tc>
          <w:tcPr>
            <w:tcW w:w="2410" w:type="dxa"/>
          </w:tcPr>
          <w:p w14:paraId="1738CAE4" w14:textId="26911B83"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3</w:t>
            </w:r>
          </w:p>
        </w:tc>
        <w:tc>
          <w:tcPr>
            <w:tcW w:w="3260" w:type="dxa"/>
          </w:tcPr>
          <w:p w14:paraId="78CC446C" w14:textId="40317252"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No gap, UL Tx is blocked</w:t>
            </w:r>
            <w:r w:rsidRPr="008614C3">
              <w:rPr>
                <w:rFonts w:ascii="Times New Roman" w:hAnsi="Times New Roman" w:cs="Times New Roman"/>
                <w:sz w:val="20"/>
                <w:lang w:val="en-US"/>
              </w:rPr>
              <w:t xml:space="preserve"> </w:t>
            </w:r>
          </w:p>
        </w:tc>
      </w:tr>
    </w:tbl>
    <w:p w14:paraId="4BA3D42E" w14:textId="4373A0F5" w:rsidR="008614C3" w:rsidRDefault="008614C3" w:rsidP="005E0FF1">
      <w:pPr>
        <w:spacing w:after="180"/>
        <w:rPr>
          <w:rFonts w:ascii="Times New Roman" w:hAnsi="Times New Roman" w:cs="Times New Roman"/>
          <w:sz w:val="20"/>
        </w:rPr>
      </w:pPr>
    </w:p>
    <w:p w14:paraId="45F2B93C" w14:textId="7334269C" w:rsidR="00CA5C4F" w:rsidRPr="00155534" w:rsidRDefault="002E780F" w:rsidP="005E0FF1">
      <w:pPr>
        <w:spacing w:after="180"/>
        <w:rPr>
          <w:rFonts w:ascii="Times New Roman" w:hAnsi="Times New Roman" w:cs="Times New Roman"/>
          <w:sz w:val="20"/>
        </w:rPr>
      </w:pPr>
      <w:r>
        <w:rPr>
          <w:rFonts w:ascii="Times New Roman" w:hAnsi="Times New Roman" w:cs="Times New Roman"/>
          <w:sz w:val="20"/>
        </w:rPr>
        <w:t xml:space="preserve">The bit-field indicating the LBT category can be included in the same GC-PDCCH carrying COT structure, or a separate PDCCH, e.g. UE-specific PDCCH. </w:t>
      </w:r>
      <w:r w:rsidR="00AD3E61">
        <w:rPr>
          <w:rFonts w:ascii="Times New Roman" w:hAnsi="Times New Roman" w:cs="Times New Roman"/>
          <w:sz w:val="20"/>
        </w:rPr>
        <w:t>For PRACH or configured PUSCH, it is reasonable to include the LBT category indication in the GC-PDCCH in order to inform a group of UE. On the other hand, for the dynamic granted PUSCH, the indication can be transmitted in the scheduling PDCCH.</w:t>
      </w:r>
    </w:p>
    <w:p w14:paraId="2CA40D5B" w14:textId="6E54A14F" w:rsidR="00AF40F4" w:rsidRDefault="00AF40F4" w:rsidP="00AF40F4">
      <w:pPr>
        <w:pStyle w:val="BodyText"/>
        <w:spacing w:after="180"/>
        <w:rPr>
          <w:rFonts w:ascii="Times New Roman" w:hAnsi="Times New Roman" w:cs="Times New Roman"/>
          <w:b/>
          <w:sz w:val="20"/>
        </w:rPr>
      </w:pPr>
      <w:r>
        <w:rPr>
          <w:rFonts w:ascii="Times New Roman" w:hAnsi="Times New Roman" w:cs="Times New Roman"/>
          <w:b/>
          <w:sz w:val="20"/>
        </w:rPr>
        <w:t xml:space="preserve">Proposal 5: LBT category and gap duration can be indicated in the GC-PDCCH carrying COT </w:t>
      </w:r>
      <w:r w:rsidR="00073502">
        <w:rPr>
          <w:rFonts w:ascii="Times New Roman" w:hAnsi="Times New Roman" w:cs="Times New Roman"/>
          <w:b/>
          <w:sz w:val="20"/>
        </w:rPr>
        <w:t>structure</w:t>
      </w:r>
      <w:r>
        <w:rPr>
          <w:rFonts w:ascii="Times New Roman" w:hAnsi="Times New Roman" w:cs="Times New Roman"/>
          <w:b/>
          <w:sz w:val="20"/>
        </w:rPr>
        <w:t>.</w:t>
      </w:r>
      <w:r w:rsidRPr="002E35F4">
        <w:rPr>
          <w:rFonts w:ascii="Times New Roman" w:hAnsi="Times New Roman" w:cs="Times New Roman"/>
          <w:b/>
          <w:sz w:val="20"/>
        </w:rPr>
        <w:t xml:space="preserve">  </w:t>
      </w:r>
    </w:p>
    <w:p w14:paraId="7D9D44E0" w14:textId="77777777" w:rsidR="00D61A7A" w:rsidRPr="00F157CD" w:rsidRDefault="00D61A7A" w:rsidP="00E15E3A">
      <w:pPr>
        <w:pStyle w:val="BodyText"/>
        <w:rPr>
          <w:b/>
        </w:rPr>
      </w:pPr>
    </w:p>
    <w:p w14:paraId="0AE9BC98" w14:textId="445C5EBC" w:rsidR="00EF4286" w:rsidRDefault="00EF4286" w:rsidP="00EF4286">
      <w:pPr>
        <w:pStyle w:val="Heading1"/>
        <w:rPr>
          <w:lang w:val="en-US"/>
        </w:rPr>
      </w:pPr>
      <w:r>
        <w:rPr>
          <w:lang w:val="en-US"/>
        </w:rPr>
        <w:t>DL burst detection</w:t>
      </w:r>
    </w:p>
    <w:p w14:paraId="0D8B1F0D" w14:textId="77777777" w:rsidR="008B6673" w:rsidRPr="002E35F4" w:rsidRDefault="008B6673" w:rsidP="00EF4286">
      <w:pPr>
        <w:pStyle w:val="BodyText"/>
        <w:rPr>
          <w:rFonts w:ascii="Times New Roman" w:hAnsi="Times New Roman" w:cs="Times New Roman"/>
          <w:sz w:val="20"/>
          <w:lang w:val="en-AU"/>
        </w:rPr>
      </w:pPr>
      <w:r w:rsidRPr="002E35F4">
        <w:rPr>
          <w:rFonts w:ascii="Times New Roman" w:hAnsi="Times New Roman" w:cs="Times New Roman"/>
          <w:sz w:val="20"/>
          <w:lang w:val="en-AU"/>
        </w:rPr>
        <w:t>There has been no progress on this topic since RAN1 AH1901 in Taipei, where the following agreement was made:</w:t>
      </w:r>
    </w:p>
    <w:tbl>
      <w:tblPr>
        <w:tblStyle w:val="TableGrid"/>
        <w:tblW w:w="0" w:type="auto"/>
        <w:tblLook w:val="04A0" w:firstRow="1" w:lastRow="0" w:firstColumn="1" w:lastColumn="0" w:noHBand="0" w:noVBand="1"/>
      </w:tblPr>
      <w:tblGrid>
        <w:gridCol w:w="9629"/>
      </w:tblGrid>
      <w:tr w:rsidR="008B6673" w14:paraId="434E4919" w14:textId="77777777" w:rsidTr="008B6673">
        <w:tc>
          <w:tcPr>
            <w:tcW w:w="9629" w:type="dxa"/>
          </w:tcPr>
          <w:p w14:paraId="0D32DEF5" w14:textId="77777777" w:rsidR="008B6673" w:rsidRPr="00C03B47" w:rsidRDefault="008B6673" w:rsidP="008B6673">
            <w:pPr>
              <w:numPr>
                <w:ilvl w:val="0"/>
                <w:numId w:val="16"/>
              </w:numPr>
              <w:rPr>
                <w:rFonts w:ascii="Times" w:eastAsia="Batang" w:hAnsi="Times"/>
                <w:sz w:val="20"/>
                <w:szCs w:val="24"/>
                <w:lang w:eastAsia="x-none"/>
              </w:rPr>
            </w:pPr>
            <w:r w:rsidRPr="00C03B47">
              <w:rPr>
                <w:rFonts w:ascii="Times" w:eastAsia="Batang" w:hAnsi="Times"/>
                <w:sz w:val="20"/>
                <w:szCs w:val="24"/>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3A02622"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1E3CAFB" w14:textId="77777777" w:rsidR="008B6673" w:rsidRPr="00C03B47" w:rsidRDefault="008B6673" w:rsidP="008B6673">
            <w:pPr>
              <w:numPr>
                <w:ilvl w:val="1"/>
                <w:numId w:val="15"/>
              </w:numPr>
              <w:rPr>
                <w:rFonts w:ascii="Times" w:eastAsia="Batang" w:hAnsi="Times"/>
                <w:sz w:val="20"/>
                <w:szCs w:val="24"/>
                <w:lang w:eastAsia="x-none"/>
              </w:rPr>
            </w:pPr>
            <w:r w:rsidRPr="00C03B47">
              <w:rPr>
                <w:rFonts w:ascii="Times" w:eastAsia="Batang" w:hAnsi="Times"/>
                <w:sz w:val="20"/>
                <w:szCs w:val="24"/>
                <w:lang w:eastAsia="x-none"/>
              </w:rPr>
              <w:t>Note: Whether a preamble, if defined, can be used for power saving in all cases depends on the details of the design.</w:t>
            </w:r>
          </w:p>
          <w:p w14:paraId="7AEED6EC"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Note: Other signals present in the transmission burst may also be used for the purpose of detection of the transmission burst</w:t>
            </w:r>
          </w:p>
          <w:p w14:paraId="37B81079"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FFS: Potential enhancements to DMRS design to address issues with detection probability</w:t>
            </w:r>
          </w:p>
          <w:p w14:paraId="5E6E2A01" w14:textId="2B5CCBCC" w:rsidR="008B6673" w:rsidRDefault="008B6673" w:rsidP="00EF4286">
            <w:pPr>
              <w:pStyle w:val="BodyText"/>
              <w:rPr>
                <w:sz w:val="20"/>
                <w:szCs w:val="20"/>
                <w:lang w:val="en-AU"/>
              </w:rPr>
            </w:pPr>
            <w:r w:rsidRPr="00C03B47">
              <w:rPr>
                <w:rFonts w:ascii="Times" w:eastAsia="Batang" w:hAnsi="Times"/>
                <w:sz w:val="20"/>
                <w:szCs w:val="24"/>
                <w:lang w:eastAsia="x-none"/>
              </w:rPr>
              <w:t>The payload of a PDCCH and/or GC-PDCCH transmission can contain information regarding COT structure that may be used by the UE for power saving</w:t>
            </w:r>
          </w:p>
        </w:tc>
      </w:tr>
    </w:tbl>
    <w:p w14:paraId="7085ED95" w14:textId="09D42C21" w:rsidR="00D140C8" w:rsidRPr="002E35F4" w:rsidRDefault="00D140C8" w:rsidP="00EF4286">
      <w:pPr>
        <w:pStyle w:val="BodyText"/>
        <w:rPr>
          <w:rFonts w:ascii="Times New Roman" w:hAnsi="Times New Roman" w:cs="Times New Roman"/>
          <w:sz w:val="20"/>
          <w:lang w:val="en-AU"/>
        </w:rPr>
      </w:pPr>
    </w:p>
    <w:p w14:paraId="57922B79" w14:textId="4C50FBF6" w:rsidR="00427789" w:rsidRPr="002E35F4" w:rsidRDefault="00D140C8" w:rsidP="003C7AF0">
      <w:pPr>
        <w:pStyle w:val="BodyText"/>
        <w:spacing w:after="180"/>
        <w:rPr>
          <w:rFonts w:ascii="Times New Roman" w:hAnsi="Times New Roman" w:cs="Times New Roman"/>
          <w:sz w:val="20"/>
          <w:lang w:val="en-AU"/>
        </w:rPr>
      </w:pPr>
      <w:r w:rsidRPr="002E35F4">
        <w:rPr>
          <w:rFonts w:ascii="Times New Roman" w:hAnsi="Times New Roman" w:cs="Times New Roman"/>
          <w:sz w:val="20"/>
          <w:lang w:val="en-AU"/>
        </w:rPr>
        <w:t>The final decision on signal/channel for DL burst detection highly depends on the assumption of PDCCH monitoring behaviour before UE identifies a COT. If we assume GC-PDCCH carrying COT structure is the only PDCCH that UE needs to monitor before knowing the COT, it is a natur</w:t>
      </w:r>
      <w:r w:rsidR="0050591A" w:rsidRPr="002E35F4">
        <w:rPr>
          <w:rFonts w:ascii="Times New Roman" w:hAnsi="Times New Roman" w:cs="Times New Roman"/>
          <w:sz w:val="20"/>
          <w:lang w:val="en-AU"/>
        </w:rPr>
        <w:t>al</w:t>
      </w:r>
      <w:r w:rsidRPr="002E35F4">
        <w:rPr>
          <w:rFonts w:ascii="Times New Roman" w:hAnsi="Times New Roman" w:cs="Times New Roman"/>
          <w:sz w:val="20"/>
          <w:lang w:val="en-AU"/>
        </w:rPr>
        <w:t xml:space="preserve"> choice that such GC-PDCCH is used for DL burst detection purpose. If further power saving needs to be pursuit, as an UE implementation option, DMRS sequence correlation in the GC-PDCCH can be used for DL burst detection instead, meaning that UE would not decode GC-PDCCH unless DMRS sequence correlation passes the threshold or channel estimation from DMRS provides good enough channel strength. Notably, as mentioned in the above </w:t>
      </w:r>
      <w:r w:rsidR="00427789" w:rsidRPr="002E35F4">
        <w:rPr>
          <w:rFonts w:ascii="Times New Roman" w:hAnsi="Times New Roman" w:cs="Times New Roman"/>
          <w:sz w:val="20"/>
          <w:lang w:val="en-AU"/>
        </w:rPr>
        <w:t xml:space="preserve">agreement, the power saving possibility by not necessitating blind decodes assumes performance relaxation for PDCCH decoding is NOT needed. </w:t>
      </w:r>
    </w:p>
    <w:p w14:paraId="5FBD66B4" w14:textId="1E127168" w:rsidR="00C929E6" w:rsidRDefault="005751A8" w:rsidP="003C7AF0">
      <w:pPr>
        <w:pStyle w:val="BodyText"/>
        <w:spacing w:after="180"/>
        <w:rPr>
          <w:rFonts w:ascii="Times New Roman" w:hAnsi="Times New Roman" w:cs="Times New Roman"/>
          <w:b/>
          <w:sz w:val="20"/>
        </w:rPr>
      </w:pPr>
      <w:r>
        <w:rPr>
          <w:rFonts w:ascii="Times New Roman" w:hAnsi="Times New Roman" w:cs="Times New Roman"/>
          <w:sz w:val="20"/>
          <w:lang w:val="en-AU"/>
        </w:rPr>
        <w:t xml:space="preserve">However, until the previous meeting, there is no consensus in RAN1 that UE is restricted to monitoring only GC-PDCCH before identifying COT. Therefore, </w:t>
      </w:r>
      <w:r w:rsidR="00427789" w:rsidRPr="002E35F4">
        <w:rPr>
          <w:rFonts w:ascii="Times New Roman" w:hAnsi="Times New Roman" w:cs="Times New Roman"/>
          <w:sz w:val="20"/>
          <w:lang w:val="en-AU"/>
        </w:rPr>
        <w:t>to facilitate the power saving, it makes sense to rely on a wideband DMRS which may not link to any PDCCH for burst detection. This wideband DMRS is associated with a CORESET which is the only CORESET for UE to monitor before detecting the COT</w:t>
      </w:r>
      <w:r>
        <w:rPr>
          <w:rFonts w:ascii="Times New Roman" w:hAnsi="Times New Roman" w:cs="Times New Roman"/>
          <w:sz w:val="20"/>
          <w:lang w:val="en-AU"/>
        </w:rPr>
        <w:t xml:space="preserve"> (which is enabled by the agreement in the last meeting regarding the search space set grouping, see next section)</w:t>
      </w:r>
      <w:r w:rsidR="00427789" w:rsidRPr="002E35F4">
        <w:rPr>
          <w:rFonts w:ascii="Times New Roman" w:hAnsi="Times New Roman" w:cs="Times New Roman"/>
          <w:sz w:val="20"/>
          <w:lang w:val="en-AU"/>
        </w:rPr>
        <w:t xml:space="preserve">. Similarly, such sequence based detection is an implementation choice, and it does not mandate a two-step PDCCH decoding process for the UE with respect to DMRS detection.  </w:t>
      </w:r>
      <w:r w:rsidR="00D140C8" w:rsidRPr="002E35F4">
        <w:rPr>
          <w:rFonts w:ascii="Times New Roman" w:hAnsi="Times New Roman" w:cs="Times New Roman"/>
          <w:sz w:val="20"/>
          <w:lang w:val="en-AU"/>
        </w:rPr>
        <w:t xml:space="preserve"> </w:t>
      </w:r>
      <w:r w:rsidR="00C929E6">
        <w:rPr>
          <w:rFonts w:ascii="Times New Roman" w:hAnsi="Times New Roman" w:cs="Times New Roman"/>
          <w:b/>
          <w:sz w:val="20"/>
        </w:rPr>
        <w:t xml:space="preserve"> </w:t>
      </w:r>
    </w:p>
    <w:p w14:paraId="075AC766" w14:textId="35ED7DD5" w:rsidR="00AA24B3" w:rsidRPr="002E35F4" w:rsidRDefault="00C929E6" w:rsidP="003C7AF0">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Pr>
          <w:rFonts w:ascii="Times New Roman" w:hAnsi="Times New Roman" w:cs="Times New Roman"/>
          <w:b/>
          <w:sz w:val="20"/>
        </w:rPr>
        <w:t>6</w:t>
      </w:r>
      <w:r w:rsidRPr="002E35F4">
        <w:rPr>
          <w:rFonts w:ascii="Times New Roman" w:hAnsi="Times New Roman" w:cs="Times New Roman"/>
          <w:b/>
          <w:sz w:val="20"/>
        </w:rPr>
        <w:t xml:space="preserve">: </w:t>
      </w:r>
      <w:r w:rsidR="005751A8">
        <w:rPr>
          <w:rFonts w:ascii="Times New Roman" w:hAnsi="Times New Roman" w:cs="Times New Roman"/>
          <w:b/>
          <w:sz w:val="20"/>
        </w:rPr>
        <w:t>UE may assume the presence of a wideband DMRS associated with the CORESET monitored before identifying COT to detect the transmission bursts by the serving gNB for power saving purpose</w:t>
      </w:r>
      <w:r w:rsidR="008557F8" w:rsidRPr="002E35F4">
        <w:rPr>
          <w:rFonts w:ascii="Times New Roman" w:hAnsi="Times New Roman" w:cs="Times New Roman"/>
          <w:b/>
          <w:sz w:val="20"/>
        </w:rPr>
        <w:t xml:space="preserve">. </w:t>
      </w:r>
    </w:p>
    <w:p w14:paraId="492C538A" w14:textId="77777777" w:rsidR="00E86AC2" w:rsidRPr="00AA24B3" w:rsidRDefault="00E86AC2" w:rsidP="008557F8">
      <w:pPr>
        <w:pStyle w:val="BodyText"/>
        <w:rPr>
          <w:rFonts w:ascii="Times New Roman" w:hAnsi="Times New Roman" w:cs="Times New Roman"/>
          <w:sz w:val="20"/>
        </w:rPr>
      </w:pPr>
    </w:p>
    <w:p w14:paraId="27766611" w14:textId="77777777" w:rsidR="005829F4" w:rsidRDefault="005829F4" w:rsidP="005829F4">
      <w:pPr>
        <w:pStyle w:val="Heading1"/>
        <w:rPr>
          <w:lang w:val="en-US"/>
        </w:rPr>
      </w:pPr>
      <w:r>
        <w:rPr>
          <w:lang w:val="en-US"/>
        </w:rPr>
        <w:t>Dynamic PDCCH monitoring</w:t>
      </w:r>
    </w:p>
    <w:p w14:paraId="7A039608" w14:textId="31D81388" w:rsidR="00BD5EE3" w:rsidRPr="00AA24B3" w:rsidRDefault="00AB4BE0" w:rsidP="001C4200">
      <w:pPr>
        <w:pStyle w:val="BodyText"/>
        <w:spacing w:after="180"/>
        <w:rPr>
          <w:rFonts w:ascii="Times" w:eastAsia="Batang" w:hAnsi="Times" w:cs="Times New Roman"/>
          <w:sz w:val="20"/>
          <w:szCs w:val="24"/>
          <w:highlight w:val="green"/>
          <w:lang w:eastAsia="x-none"/>
        </w:rPr>
      </w:pPr>
      <w:r w:rsidRPr="00AA24B3">
        <w:rPr>
          <w:rFonts w:ascii="Times New Roman" w:hAnsi="Times New Roman" w:cs="Times New Roman"/>
          <w:sz w:val="20"/>
        </w:rPr>
        <w:t>In previous meeting,</w:t>
      </w:r>
      <w:r>
        <w:rPr>
          <w:rFonts w:ascii="Times New Roman" w:hAnsi="Times New Roman" w:cs="Times New Roman"/>
          <w:sz w:val="20"/>
        </w:rPr>
        <w:t xml:space="preserve"> the following agreement has been made to support the dynamic adaptation of PDCCH monitoring. </w:t>
      </w:r>
    </w:p>
    <w:tbl>
      <w:tblPr>
        <w:tblStyle w:val="TableGrid"/>
        <w:tblW w:w="0" w:type="auto"/>
        <w:tblLook w:val="04A0" w:firstRow="1" w:lastRow="0" w:firstColumn="1" w:lastColumn="0" w:noHBand="0" w:noVBand="1"/>
      </w:tblPr>
      <w:tblGrid>
        <w:gridCol w:w="9629"/>
      </w:tblGrid>
      <w:tr w:rsidR="00B675F7" w14:paraId="4BDD96E5" w14:textId="77777777" w:rsidTr="00B675F7">
        <w:tc>
          <w:tcPr>
            <w:tcW w:w="9629" w:type="dxa"/>
          </w:tcPr>
          <w:p w14:paraId="1FFE70DD" w14:textId="77777777" w:rsidR="00B675F7" w:rsidRPr="00B675F7" w:rsidRDefault="00B675F7" w:rsidP="00B675F7">
            <w:pPr>
              <w:rPr>
                <w:rFonts w:ascii="Times" w:eastAsia="Batang" w:hAnsi="Times" w:cs="Times New Roman"/>
                <w:sz w:val="20"/>
                <w:szCs w:val="24"/>
                <w:lang w:eastAsia="x-none"/>
              </w:rPr>
            </w:pPr>
            <w:r w:rsidRPr="00B675F7">
              <w:rPr>
                <w:rFonts w:ascii="Times" w:eastAsia="Batang" w:hAnsi="Times" w:cs="Times New Roman"/>
                <w:sz w:val="20"/>
                <w:szCs w:val="24"/>
                <w:highlight w:val="green"/>
                <w:lang w:eastAsia="x-none"/>
              </w:rPr>
              <w:t>Agreement:</w:t>
            </w:r>
          </w:p>
          <w:p w14:paraId="7F3C9161" w14:textId="77777777" w:rsidR="00B675F7" w:rsidRPr="00B675F7" w:rsidRDefault="00B675F7" w:rsidP="00B675F7">
            <w:pPr>
              <w:numPr>
                <w:ilvl w:val="0"/>
                <w:numId w:val="32"/>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B675F7">
              <w:rPr>
                <w:rFonts w:ascii="Times New Roman" w:eastAsia="SimSun" w:hAnsi="Times New Roman" w:cs="Times New Roman"/>
                <w:sz w:val="20"/>
                <w:szCs w:val="20"/>
              </w:rPr>
              <w:t>A UE can be provided with at least two groups (FFS: more than two groups) of search space sets for PDCCH. The UE can be configured to switch between the groups, indicated based on at least the following alternatives.</w:t>
            </w:r>
          </w:p>
          <w:p w14:paraId="51A23C8C" w14:textId="77777777" w:rsidR="00B675F7" w:rsidRPr="00B675F7" w:rsidRDefault="00B675F7" w:rsidP="00B675F7">
            <w:pPr>
              <w:numPr>
                <w:ilvl w:val="1"/>
                <w:numId w:val="32"/>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B675F7">
              <w:rPr>
                <w:rFonts w:ascii="Times New Roman" w:eastAsia="SimSun" w:hAnsi="Times New Roman" w:cs="Times New Roman"/>
                <w:sz w:val="20"/>
                <w:szCs w:val="20"/>
              </w:rPr>
              <w:t>Alt 1: implicitly e.g. after detection of [FFS: DL burst, (WB-)DM-RS, GC-PDCCH and/or PDCCH] and/or e.g., based on information on COT structure.</w:t>
            </w:r>
          </w:p>
          <w:p w14:paraId="57F9A44B" w14:textId="77777777" w:rsidR="00B675F7" w:rsidRPr="00B675F7" w:rsidRDefault="00B675F7" w:rsidP="00B675F7">
            <w:pPr>
              <w:numPr>
                <w:ilvl w:val="1"/>
                <w:numId w:val="32"/>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B675F7">
              <w:rPr>
                <w:rFonts w:ascii="Times New Roman" w:eastAsia="SimSun" w:hAnsi="Times New Roman" w:cs="Times New Roman"/>
                <w:sz w:val="20"/>
                <w:szCs w:val="20"/>
              </w:rPr>
              <w:t>Alt 2: explicitly in GC-PDCCH and/or PDCCH</w:t>
            </w:r>
          </w:p>
          <w:p w14:paraId="1F20BE7E" w14:textId="77777777" w:rsidR="00B675F7" w:rsidRPr="00B675F7" w:rsidRDefault="00B675F7" w:rsidP="00B675F7">
            <w:pPr>
              <w:numPr>
                <w:ilvl w:val="0"/>
                <w:numId w:val="32"/>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B675F7">
              <w:rPr>
                <w:rFonts w:ascii="Times New Roman" w:eastAsia="SimSun" w:hAnsi="Times New Roman" w:cs="Times New Roman"/>
                <w:sz w:val="20"/>
                <w:szCs w:val="20"/>
              </w:rPr>
              <w:t>Search space sets that are not part of the configured groups (e.g., a common search space set) will always be monitored by the UE regardless of the search space set indication</w:t>
            </w:r>
          </w:p>
          <w:p w14:paraId="4638BB2B" w14:textId="77777777" w:rsidR="00B675F7" w:rsidRPr="00B675F7" w:rsidRDefault="00B675F7" w:rsidP="00B675F7">
            <w:pPr>
              <w:numPr>
                <w:ilvl w:val="0"/>
                <w:numId w:val="32"/>
              </w:numPr>
              <w:overflowPunct w:val="0"/>
              <w:autoSpaceDE w:val="0"/>
              <w:autoSpaceDN w:val="0"/>
              <w:adjustRightInd w:val="0"/>
              <w:spacing w:after="180"/>
              <w:contextualSpacing/>
              <w:textAlignment w:val="baseline"/>
              <w:rPr>
                <w:rFonts w:ascii="Times New Roman" w:eastAsia="SimSun" w:hAnsi="Times New Roman" w:cs="Times New Roman"/>
                <w:sz w:val="20"/>
                <w:szCs w:val="20"/>
              </w:rPr>
            </w:pPr>
            <w:r w:rsidRPr="00B675F7">
              <w:rPr>
                <w:rFonts w:ascii="Times New Roman" w:eastAsia="SimSun" w:hAnsi="Times New Roman" w:cs="Times New Roman"/>
                <w:sz w:val="20"/>
                <w:szCs w:val="20"/>
              </w:rPr>
              <w:t>A single search space set can be part of more than one group.</w:t>
            </w:r>
          </w:p>
          <w:p w14:paraId="11A040AB" w14:textId="54591955" w:rsidR="00B675F7" w:rsidRDefault="00B675F7" w:rsidP="00AA24B3">
            <w:pPr>
              <w:numPr>
                <w:ilvl w:val="0"/>
                <w:numId w:val="32"/>
              </w:numPr>
              <w:overflowPunct w:val="0"/>
              <w:autoSpaceDE w:val="0"/>
              <w:autoSpaceDN w:val="0"/>
              <w:adjustRightInd w:val="0"/>
              <w:spacing w:after="180"/>
              <w:contextualSpacing/>
              <w:textAlignment w:val="baseline"/>
              <w:rPr>
                <w:rFonts w:ascii="Times New Roman" w:hAnsi="Times New Roman" w:cs="Times New Roman"/>
                <w:b/>
                <w:sz w:val="20"/>
              </w:rPr>
            </w:pPr>
            <w:r w:rsidRPr="00B675F7">
              <w:rPr>
                <w:rFonts w:ascii="Times New Roman" w:eastAsia="SimSun" w:hAnsi="Times New Roman" w:cs="Times New Roman"/>
                <w:sz w:val="20"/>
                <w:szCs w:val="20"/>
              </w:rPr>
              <w:t>It is up to RAN2 to optimize the signalling to minimize overhead.</w:t>
            </w:r>
          </w:p>
        </w:tc>
      </w:tr>
    </w:tbl>
    <w:p w14:paraId="25A55FEF" w14:textId="4B7C7739" w:rsidR="00B675F7" w:rsidRDefault="00B675F7" w:rsidP="001C4200">
      <w:pPr>
        <w:pStyle w:val="BodyText"/>
        <w:spacing w:after="180"/>
        <w:rPr>
          <w:rFonts w:ascii="Times New Roman" w:hAnsi="Times New Roman" w:cs="Times New Roman"/>
          <w:b/>
          <w:sz w:val="20"/>
        </w:rPr>
      </w:pPr>
    </w:p>
    <w:p w14:paraId="21DB6478" w14:textId="036A67CB" w:rsidR="00AB4BE0" w:rsidRPr="00AA24B3" w:rsidRDefault="00AB4BE0" w:rsidP="001C4200">
      <w:pPr>
        <w:pStyle w:val="BodyText"/>
        <w:spacing w:after="180"/>
        <w:rPr>
          <w:rFonts w:ascii="Times New Roman" w:hAnsi="Times New Roman" w:cs="Times New Roman"/>
          <w:sz w:val="20"/>
        </w:rPr>
      </w:pPr>
      <w:r w:rsidRPr="00AB4BE0">
        <w:rPr>
          <w:rFonts w:ascii="Times New Roman" w:hAnsi="Times New Roman" w:cs="Times New Roman"/>
          <w:sz w:val="20"/>
        </w:rPr>
        <w:t xml:space="preserve">We discuss in the following the further details to support such functionality. </w:t>
      </w:r>
    </w:p>
    <w:p w14:paraId="799DE830" w14:textId="0BC1F57C" w:rsidR="00AB4BE0" w:rsidRDefault="00AB4BE0" w:rsidP="00AB4BE0">
      <w:pPr>
        <w:pStyle w:val="Heading4"/>
        <w:tabs>
          <w:tab w:val="clear" w:pos="284"/>
        </w:tabs>
        <w:ind w:left="864" w:right="569" w:hanging="864"/>
      </w:pPr>
      <w:r>
        <w:t>4.1 How many groups are needed</w:t>
      </w:r>
    </w:p>
    <w:p w14:paraId="372508E7" w14:textId="461A7DC0" w:rsidR="00BF21DA" w:rsidRDefault="005A4C55" w:rsidP="00AA24B3">
      <w:pPr>
        <w:pStyle w:val="BodyText"/>
        <w:spacing w:after="180"/>
        <w:rPr>
          <w:rFonts w:ascii="Times New Roman" w:hAnsi="Times New Roman"/>
          <w:sz w:val="20"/>
        </w:rPr>
      </w:pPr>
      <w:r w:rsidRPr="005A4C55">
        <w:rPr>
          <w:rFonts w:ascii="Times New Roman" w:hAnsi="Times New Roman" w:cs="Times New Roman"/>
          <w:sz w:val="20"/>
        </w:rPr>
        <w:t>The switching between search space set groups is motivated by the need to change the PDCCH monitoring granularity</w:t>
      </w:r>
      <w:r w:rsidR="0086330E">
        <w:rPr>
          <w:rFonts w:ascii="Times New Roman" w:hAnsi="Times New Roman" w:cs="Times New Roman"/>
          <w:sz w:val="20"/>
        </w:rPr>
        <w:t xml:space="preserve"> in time</w:t>
      </w:r>
      <w:r w:rsidRPr="005A4C55">
        <w:rPr>
          <w:rFonts w:ascii="Times New Roman" w:hAnsi="Times New Roman" w:cs="Times New Roman"/>
          <w:sz w:val="20"/>
        </w:rPr>
        <w:t xml:space="preserve"> </w:t>
      </w:r>
      <w:r>
        <w:rPr>
          <w:rFonts w:ascii="Times New Roman" w:hAnsi="Times New Roman" w:cs="Times New Roman"/>
          <w:sz w:val="20"/>
        </w:rPr>
        <w:t>based on whether UE is within or outside COT. If outside the COT, monitori</w:t>
      </w:r>
      <w:r w:rsidR="0086330E">
        <w:rPr>
          <w:rFonts w:ascii="Times New Roman" w:hAnsi="Times New Roman" w:cs="Times New Roman"/>
          <w:sz w:val="20"/>
        </w:rPr>
        <w:t>ng PDCCH more frequently</w:t>
      </w:r>
      <w:r>
        <w:rPr>
          <w:rFonts w:ascii="Times New Roman" w:hAnsi="Times New Roman" w:cs="Times New Roman"/>
          <w:sz w:val="20"/>
        </w:rPr>
        <w:t xml:space="preserve"> gives more chance for UE to be addressed (hence more chance for gNB to utilize the channel). On the other hand, if it is already inside COT, </w:t>
      </w:r>
      <w:r w:rsidR="00BF21DA">
        <w:rPr>
          <w:rFonts w:ascii="Times New Roman" w:hAnsi="Times New Roman" w:cs="Times New Roman"/>
          <w:sz w:val="20"/>
        </w:rPr>
        <w:t xml:space="preserve">transmitting still frequent PDCCH can introduce unnecessary control overhead. Therefore, it is beneficial to switch to SS set group with coarser monitoring intervals. </w:t>
      </w:r>
    </w:p>
    <w:p w14:paraId="6988DC32" w14:textId="7A14626C" w:rsidR="00BF21DA" w:rsidRDefault="00BF21DA" w:rsidP="00AA24B3">
      <w:pPr>
        <w:pStyle w:val="BodyText"/>
        <w:spacing w:after="180"/>
        <w:rPr>
          <w:rFonts w:ascii="Times New Roman" w:hAnsi="Times New Roman"/>
          <w:sz w:val="20"/>
        </w:rPr>
      </w:pPr>
      <w:r>
        <w:rPr>
          <w:rFonts w:ascii="Times New Roman" w:hAnsi="Times New Roman" w:cs="Times New Roman"/>
          <w:sz w:val="20"/>
        </w:rPr>
        <w:t>The following Fig</w:t>
      </w:r>
      <w:r w:rsidR="00CD526C">
        <w:rPr>
          <w:rFonts w:ascii="Times New Roman" w:hAnsi="Times New Roman" w:cs="Times New Roman"/>
          <w:sz w:val="20"/>
        </w:rPr>
        <w:t>.</w:t>
      </w:r>
      <w:r>
        <w:rPr>
          <w:rFonts w:ascii="Times New Roman" w:hAnsi="Times New Roman" w:cs="Times New Roman"/>
          <w:sz w:val="20"/>
        </w:rPr>
        <w:t xml:space="preserve"> </w:t>
      </w:r>
      <w:r w:rsidR="00CD526C">
        <w:rPr>
          <w:rFonts w:ascii="Times New Roman" w:hAnsi="Times New Roman" w:cs="Times New Roman"/>
          <w:sz w:val="20"/>
        </w:rPr>
        <w:t>2</w:t>
      </w:r>
      <w:r>
        <w:rPr>
          <w:rFonts w:ascii="Times New Roman" w:hAnsi="Times New Roman" w:cs="Times New Roman"/>
          <w:sz w:val="20"/>
        </w:rPr>
        <w:t xml:space="preserve"> illustrates one such example. </w:t>
      </w:r>
    </w:p>
    <w:p w14:paraId="555B65B6" w14:textId="18E426AD" w:rsidR="00BF21DA" w:rsidRDefault="00C2563D" w:rsidP="00AA24B3">
      <w:pPr>
        <w:pStyle w:val="BodyText"/>
        <w:spacing w:after="180"/>
        <w:rPr>
          <w:rFonts w:ascii="Times New Roman" w:hAnsi="Times New Roman"/>
          <w:sz w:val="20"/>
        </w:rPr>
      </w:pPr>
      <w:r>
        <w:rPr>
          <w:rFonts w:ascii="Times New Roman" w:hAnsi="Times New Roman" w:cs="Times New Roman"/>
          <w:noProof/>
          <w:sz w:val="20"/>
        </w:rPr>
        <w:drawing>
          <wp:inline distT="0" distB="0" distL="0" distR="0" wp14:anchorId="6F513CE8" wp14:editId="0839B882">
            <wp:extent cx="5546272" cy="1424260"/>
            <wp:effectExtent l="0" t="0" r="0" b="508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0363" cy="1425310"/>
                    </a:xfrm>
                    <a:prstGeom prst="rect">
                      <a:avLst/>
                    </a:prstGeom>
                    <a:noFill/>
                  </pic:spPr>
                </pic:pic>
              </a:graphicData>
            </a:graphic>
          </wp:inline>
        </w:drawing>
      </w:r>
    </w:p>
    <w:p w14:paraId="2AF348C6" w14:textId="616619F9" w:rsidR="005A4C55" w:rsidRDefault="00C2563D" w:rsidP="00AA24B3">
      <w:pPr>
        <w:pStyle w:val="BodyText"/>
        <w:spacing w:after="180"/>
        <w:jc w:val="center"/>
        <w:rPr>
          <w:rFonts w:ascii="Times New Roman" w:hAnsi="Times New Roman"/>
          <w:sz w:val="20"/>
        </w:rPr>
      </w:pPr>
      <w:r>
        <w:rPr>
          <w:rFonts w:ascii="Times New Roman" w:hAnsi="Times New Roman" w:cs="Times New Roman"/>
          <w:sz w:val="20"/>
        </w:rPr>
        <w:t>Fig</w:t>
      </w:r>
      <w:r w:rsidR="00CD526C">
        <w:rPr>
          <w:rFonts w:ascii="Times New Roman" w:hAnsi="Times New Roman" w:cs="Times New Roman"/>
          <w:sz w:val="20"/>
        </w:rPr>
        <w:t>.</w:t>
      </w:r>
      <w:r>
        <w:rPr>
          <w:rFonts w:ascii="Times New Roman" w:hAnsi="Times New Roman" w:cs="Times New Roman"/>
          <w:sz w:val="20"/>
        </w:rPr>
        <w:t xml:space="preserve"> </w:t>
      </w:r>
      <w:r w:rsidR="00CD526C">
        <w:rPr>
          <w:rFonts w:ascii="Times New Roman" w:hAnsi="Times New Roman" w:cs="Times New Roman"/>
          <w:sz w:val="20"/>
        </w:rPr>
        <w:t>2</w:t>
      </w:r>
      <w:r>
        <w:rPr>
          <w:rFonts w:ascii="Times New Roman" w:hAnsi="Times New Roman" w:cs="Times New Roman"/>
          <w:sz w:val="20"/>
        </w:rPr>
        <w:t>. Example of SS set group switching</w:t>
      </w:r>
    </w:p>
    <w:p w14:paraId="4B84F4FD" w14:textId="7DB91540" w:rsidR="00C2563D" w:rsidRDefault="00C2563D" w:rsidP="00AA24B3">
      <w:pPr>
        <w:pStyle w:val="BodyText"/>
        <w:spacing w:after="180"/>
        <w:rPr>
          <w:rFonts w:ascii="Times New Roman" w:hAnsi="Times New Roman"/>
          <w:sz w:val="20"/>
        </w:rPr>
      </w:pPr>
      <w:r>
        <w:rPr>
          <w:rFonts w:ascii="Times New Roman" w:hAnsi="Times New Roman" w:cs="Times New Roman"/>
          <w:sz w:val="20"/>
        </w:rPr>
        <w:t xml:space="preserve">As shown, before identifying COT, UE monitors PDCCH according to group 1 configuration, i.e. every two-symbol, to increase the channel access possibility. After COT is identified, starting from the next slot boundary, PDCCH monitoring is switched to group 2, at slot granularity, in order to reduce control overhead. After COT ends, PDCCH monitoring is switched back to group 1 at the slot boundary. </w:t>
      </w:r>
    </w:p>
    <w:p w14:paraId="407131DC" w14:textId="30071B6D" w:rsidR="00C2563D" w:rsidRDefault="00C2563D" w:rsidP="00AA24B3">
      <w:pPr>
        <w:pStyle w:val="BodyText"/>
        <w:spacing w:after="180"/>
        <w:rPr>
          <w:rFonts w:ascii="Times New Roman" w:hAnsi="Times New Roman"/>
          <w:sz w:val="20"/>
        </w:rPr>
      </w:pPr>
      <w:r>
        <w:rPr>
          <w:rFonts w:ascii="Times New Roman" w:hAnsi="Times New Roman" w:cs="Times New Roman"/>
          <w:sz w:val="20"/>
        </w:rPr>
        <w:t xml:space="preserve">It is also clear from the above example, it is sufficient to have only two groups, at </w:t>
      </w:r>
      <w:r w:rsidR="007B7DEB">
        <w:rPr>
          <w:rFonts w:ascii="Times New Roman" w:hAnsi="Times New Roman" w:cs="Times New Roman"/>
          <w:sz w:val="20"/>
        </w:rPr>
        <w:t xml:space="preserve">least for </w:t>
      </w:r>
      <w:r w:rsidR="007B7DEB" w:rsidRPr="007B7DEB">
        <w:rPr>
          <w:rFonts w:ascii="Times New Roman" w:hAnsi="Times New Roman" w:cs="Times New Roman"/>
          <w:sz w:val="20"/>
        </w:rPr>
        <w:t>the case where there is only single LBT bandwidth within the carrier. In case of wideband operation where one carrier includes multiple LBT bandwidths, there could be a need for configuring more than two groups. For example, considering inside the COT, multiple search space set groups are configured to cover different combinations of LBT bandwidths that have passed LBT. Then depending on the actual LBT outcome, one of the groups can be activated for PDCCH monitoring within the COT</w:t>
      </w:r>
      <w:r w:rsidR="00E51E81">
        <w:rPr>
          <w:rFonts w:ascii="Times New Roman" w:hAnsi="Times New Roman" w:cs="Times New Roman"/>
          <w:sz w:val="20"/>
        </w:rPr>
        <w:t>.</w:t>
      </w:r>
    </w:p>
    <w:p w14:paraId="69CBA5D1" w14:textId="11D82A29" w:rsidR="005A4C55" w:rsidRDefault="00C2563D" w:rsidP="00AA24B3">
      <w:pPr>
        <w:pStyle w:val="BodyText"/>
        <w:spacing w:after="180"/>
        <w:rPr>
          <w:rFonts w:ascii="Times New Roman" w:hAnsi="Times New Roman"/>
          <w:b/>
          <w:sz w:val="20"/>
        </w:rPr>
      </w:pPr>
      <w:r>
        <w:rPr>
          <w:rFonts w:ascii="Times New Roman" w:hAnsi="Times New Roman" w:cs="Times New Roman"/>
          <w:b/>
          <w:sz w:val="20"/>
        </w:rPr>
        <w:t xml:space="preserve">Proposal 7: </w:t>
      </w:r>
      <w:r w:rsidR="007B7DEB" w:rsidRPr="007B7DEB">
        <w:rPr>
          <w:rFonts w:ascii="Times New Roman" w:hAnsi="Times New Roman" w:cs="Times New Roman"/>
          <w:b/>
          <w:sz w:val="20"/>
        </w:rPr>
        <w:t xml:space="preserve">More than two groups </w:t>
      </w:r>
      <w:r w:rsidR="007B7DEB">
        <w:rPr>
          <w:rFonts w:ascii="Times New Roman" w:hAnsi="Times New Roman" w:cs="Times New Roman"/>
          <w:b/>
          <w:sz w:val="20"/>
        </w:rPr>
        <w:t xml:space="preserve">of search space sets </w:t>
      </w:r>
      <w:r w:rsidR="007B7DEB" w:rsidRPr="007B7DEB">
        <w:rPr>
          <w:rFonts w:ascii="Times New Roman" w:hAnsi="Times New Roman" w:cs="Times New Roman"/>
          <w:b/>
          <w:sz w:val="20"/>
        </w:rPr>
        <w:t>should be supported for the configuration.</w:t>
      </w:r>
    </w:p>
    <w:p w14:paraId="530F56E5" w14:textId="77777777" w:rsidR="00A7563F" w:rsidRDefault="00A7563F" w:rsidP="00A7563F">
      <w:pPr>
        <w:pStyle w:val="Heading4"/>
        <w:tabs>
          <w:tab w:val="clear" w:pos="284"/>
        </w:tabs>
        <w:ind w:left="864" w:right="569" w:hanging="864"/>
      </w:pPr>
    </w:p>
    <w:p w14:paraId="2E3EED2A" w14:textId="078A1E32" w:rsidR="00A7563F" w:rsidRDefault="0086330E" w:rsidP="00A7563F">
      <w:pPr>
        <w:pStyle w:val="Heading4"/>
        <w:tabs>
          <w:tab w:val="clear" w:pos="284"/>
        </w:tabs>
        <w:ind w:left="864" w:right="569" w:hanging="864"/>
      </w:pPr>
      <w:r>
        <w:t>4.2</w:t>
      </w:r>
      <w:r w:rsidR="00A7563F">
        <w:t xml:space="preserve"> When group switching occurs</w:t>
      </w:r>
    </w:p>
    <w:p w14:paraId="46CBCBF0" w14:textId="3533522C" w:rsidR="00A7563F" w:rsidRDefault="00A7563F" w:rsidP="00D4480A">
      <w:pPr>
        <w:pStyle w:val="BodyText"/>
        <w:spacing w:after="180"/>
        <w:rPr>
          <w:rFonts w:ascii="Times New Roman" w:hAnsi="Times New Roman"/>
          <w:sz w:val="20"/>
        </w:rPr>
      </w:pPr>
      <w:r w:rsidRPr="00D4480A">
        <w:rPr>
          <w:rFonts w:ascii="Times New Roman" w:hAnsi="Times New Roman" w:cs="Times New Roman"/>
          <w:sz w:val="20"/>
        </w:rPr>
        <w:t xml:space="preserve">It also becomes clear </w:t>
      </w:r>
      <w:r w:rsidR="00E51E81">
        <w:rPr>
          <w:rFonts w:ascii="Times New Roman" w:hAnsi="Times New Roman" w:cs="Times New Roman"/>
          <w:sz w:val="20"/>
        </w:rPr>
        <w:t>in the Fig.</w:t>
      </w:r>
      <w:r>
        <w:rPr>
          <w:rFonts w:ascii="Times New Roman" w:hAnsi="Times New Roman" w:cs="Times New Roman"/>
          <w:sz w:val="20"/>
        </w:rPr>
        <w:t xml:space="preserve"> </w:t>
      </w:r>
      <w:r w:rsidR="00E51E81">
        <w:rPr>
          <w:rFonts w:ascii="Times New Roman" w:hAnsi="Times New Roman" w:cs="Times New Roman"/>
          <w:sz w:val="20"/>
        </w:rPr>
        <w:t>2</w:t>
      </w:r>
      <w:r>
        <w:rPr>
          <w:rFonts w:ascii="Times New Roman" w:hAnsi="Times New Roman" w:cs="Times New Roman"/>
          <w:sz w:val="20"/>
        </w:rPr>
        <w:t xml:space="preserve"> </w:t>
      </w:r>
      <w:r w:rsidRPr="00D4480A">
        <w:rPr>
          <w:rFonts w:ascii="Times New Roman" w:hAnsi="Times New Roman" w:cs="Times New Roman"/>
          <w:sz w:val="20"/>
        </w:rPr>
        <w:t>that</w:t>
      </w:r>
      <w:r>
        <w:rPr>
          <w:rFonts w:ascii="Times New Roman" w:hAnsi="Times New Roman" w:cs="Times New Roman"/>
          <w:sz w:val="20"/>
        </w:rPr>
        <w:t xml:space="preserve"> the switching only occurs at the slot boundary. This makes sense if the two groups differ only in monitoring occasions, e.g. slot versus non-slot based monitoring. </w:t>
      </w:r>
      <w:r w:rsidR="007725CA">
        <w:rPr>
          <w:rFonts w:ascii="Times New Roman" w:hAnsi="Times New Roman" w:cs="Times New Roman"/>
          <w:sz w:val="20"/>
        </w:rPr>
        <w:t xml:space="preserve">Such definition based on the slot is necessary as UE capability of the number of blind decoding and CCE estimation are defined per slot. </w:t>
      </w:r>
      <w:r>
        <w:rPr>
          <w:rFonts w:ascii="Times New Roman" w:hAnsi="Times New Roman" w:cs="Times New Roman"/>
          <w:sz w:val="20"/>
        </w:rPr>
        <w:t>If more groups are introduced, it might be useful to en</w:t>
      </w:r>
      <w:r w:rsidR="0086330E">
        <w:rPr>
          <w:rFonts w:ascii="Times New Roman" w:hAnsi="Times New Roman" w:cs="Times New Roman"/>
          <w:sz w:val="20"/>
        </w:rPr>
        <w:t>able the switching at some particular symbol within a</w:t>
      </w:r>
      <w:r>
        <w:rPr>
          <w:rFonts w:ascii="Times New Roman" w:hAnsi="Times New Roman" w:cs="Times New Roman"/>
          <w:sz w:val="20"/>
        </w:rPr>
        <w:t xml:space="preserve"> slot. However, we fail to see the necessity in Rel-16. Therefore, the following proposal is made.</w:t>
      </w:r>
    </w:p>
    <w:p w14:paraId="6A336085" w14:textId="5C8BC206" w:rsidR="00A7563F" w:rsidRDefault="00A7563F" w:rsidP="00A7563F">
      <w:pPr>
        <w:pStyle w:val="BodyText"/>
        <w:spacing w:after="180"/>
        <w:rPr>
          <w:rFonts w:ascii="Times New Roman" w:hAnsi="Times New Roman" w:cs="Times New Roman"/>
          <w:b/>
          <w:sz w:val="20"/>
        </w:rPr>
      </w:pPr>
      <w:r>
        <w:rPr>
          <w:rFonts w:ascii="Times New Roman" w:hAnsi="Times New Roman" w:cs="Times New Roman"/>
          <w:b/>
          <w:sz w:val="20"/>
        </w:rPr>
        <w:t>Proposal 8: Group switching only occurs at the slot boundary</w:t>
      </w:r>
      <w:r w:rsidR="007B7DEB">
        <w:rPr>
          <w:rFonts w:ascii="Times New Roman" w:hAnsi="Times New Roman" w:cs="Times New Roman"/>
          <w:b/>
          <w:sz w:val="20"/>
        </w:rPr>
        <w:t>.</w:t>
      </w:r>
    </w:p>
    <w:p w14:paraId="474F6241" w14:textId="77777777" w:rsidR="00A7563F" w:rsidRDefault="00A7563F" w:rsidP="00AB4BE0">
      <w:pPr>
        <w:pStyle w:val="Heading4"/>
        <w:tabs>
          <w:tab w:val="clear" w:pos="284"/>
        </w:tabs>
        <w:ind w:left="864" w:right="569" w:hanging="864"/>
      </w:pPr>
    </w:p>
    <w:p w14:paraId="48F89DA1" w14:textId="4EE3E39F" w:rsidR="00AB4BE0" w:rsidRDefault="00AB4BE0" w:rsidP="00AB4BE0">
      <w:pPr>
        <w:pStyle w:val="Heading4"/>
        <w:tabs>
          <w:tab w:val="clear" w:pos="284"/>
        </w:tabs>
        <w:ind w:left="864" w:right="569" w:hanging="864"/>
      </w:pPr>
      <w:r>
        <w:t>4.</w:t>
      </w:r>
      <w:r w:rsidR="0086330E">
        <w:t>3</w:t>
      </w:r>
      <w:r>
        <w:t xml:space="preserve"> Implicit or Explicit indication</w:t>
      </w:r>
    </w:p>
    <w:p w14:paraId="57DD1E97" w14:textId="08233DB8" w:rsidR="00926781" w:rsidRPr="00537854" w:rsidRDefault="0086330E" w:rsidP="00AA24B3">
      <w:pPr>
        <w:rPr>
          <w:rFonts w:ascii="Times New Roman" w:hAnsi="Times New Roman"/>
          <w:sz w:val="20"/>
        </w:rPr>
      </w:pPr>
      <w:r w:rsidRPr="00AA24B3">
        <w:rPr>
          <w:rFonts w:ascii="Times New Roman" w:hAnsi="Times New Roman" w:cs="Times New Roman"/>
          <w:sz w:val="20"/>
        </w:rPr>
        <w:t xml:space="preserve">Two alternatives are mentioned in the agreement regarding the indication: implicit or explicit. </w:t>
      </w:r>
      <w:r>
        <w:rPr>
          <w:rFonts w:ascii="Times New Roman" w:hAnsi="Times New Roman" w:cs="Times New Roman"/>
          <w:sz w:val="20"/>
        </w:rPr>
        <w:t xml:space="preserve">The explicit method means a bit-field would be introduced in PDCCH or GC-PDCCH to explicitly inform UE which group is switched to. By contrast, the implicit method means UE can determine the group by knowing, e.g. the start of the COT and the end of the COT. As mentioned earlier, the </w:t>
      </w:r>
      <w:r w:rsidR="00343266">
        <w:rPr>
          <w:rFonts w:ascii="Times New Roman" w:hAnsi="Times New Roman" w:cs="Times New Roman"/>
          <w:sz w:val="20"/>
        </w:rPr>
        <w:t>switching is expectedly used for adaptation of PDCCH monitoring granularity in time between inside and outside the COT. Therefore, it is highly coupled with the COT structure. Introducing additional bit-field in DCI becomes unnecessary. Since the COT structure can be reliably known to the UE via GC-PDCCH, the misalignment caused by the implicit method is not likely to happen.</w:t>
      </w:r>
      <w:r w:rsidR="001F37D7">
        <w:rPr>
          <w:rFonts w:ascii="Times New Roman" w:hAnsi="Times New Roman" w:cs="Times New Roman"/>
          <w:sz w:val="20"/>
        </w:rPr>
        <w:t xml:space="preserve"> As mentioned in section 2.2 (see Proposal 4), COT structure is indicated to UE by a partially overlapping manner. This improves the reliability thanks to the inh</w:t>
      </w:r>
      <w:r w:rsidR="007E6BB3">
        <w:rPr>
          <w:rFonts w:ascii="Times New Roman" w:hAnsi="Times New Roman" w:cs="Times New Roman"/>
          <w:sz w:val="20"/>
        </w:rPr>
        <w:t>erent repetition.</w:t>
      </w:r>
      <w:r w:rsidR="00343266">
        <w:rPr>
          <w:rFonts w:ascii="Times New Roman" w:hAnsi="Times New Roman" w:cs="Times New Roman"/>
          <w:sz w:val="20"/>
        </w:rPr>
        <w:t xml:space="preserve"> To further improve the robustness, one group </w:t>
      </w:r>
      <w:r w:rsidR="007725CA">
        <w:rPr>
          <w:rFonts w:ascii="Times New Roman" w:hAnsi="Times New Roman" w:cs="Times New Roman"/>
          <w:sz w:val="20"/>
        </w:rPr>
        <w:t xml:space="preserve">of </w:t>
      </w:r>
      <w:r w:rsidR="007725CA" w:rsidRPr="005A4C55">
        <w:rPr>
          <w:rFonts w:ascii="Times New Roman" w:hAnsi="Times New Roman" w:cs="Times New Roman"/>
          <w:sz w:val="20"/>
        </w:rPr>
        <w:t>PDCCH monitoring</w:t>
      </w:r>
      <w:r w:rsidR="007725CA">
        <w:rPr>
          <w:rFonts w:ascii="Times New Roman" w:hAnsi="Times New Roman" w:cs="Times New Roman"/>
          <w:sz w:val="20"/>
        </w:rPr>
        <w:t xml:space="preserve"> </w:t>
      </w:r>
      <w:r w:rsidR="00343266">
        <w:rPr>
          <w:rFonts w:ascii="Times New Roman" w:hAnsi="Times New Roman" w:cs="Times New Roman"/>
          <w:sz w:val="20"/>
        </w:rPr>
        <w:t xml:space="preserve">can be configured as a subset of the other group. Or alternatively, some important search space is not categorized into any group and hence should be always monitored.   </w:t>
      </w:r>
    </w:p>
    <w:p w14:paraId="77CE301D" w14:textId="41F19824" w:rsidR="00926781" w:rsidRDefault="00343266" w:rsidP="00AA24B3">
      <w:r>
        <w:rPr>
          <w:rFonts w:ascii="Times New Roman" w:hAnsi="Times New Roman" w:cs="Times New Roman"/>
          <w:b/>
          <w:sz w:val="20"/>
        </w:rPr>
        <w:t>Proposal 9: Al</w:t>
      </w:r>
      <w:r w:rsidR="00884BC2">
        <w:rPr>
          <w:rFonts w:ascii="Times New Roman" w:hAnsi="Times New Roman" w:cs="Times New Roman"/>
          <w:b/>
          <w:sz w:val="20"/>
        </w:rPr>
        <w:t>t</w:t>
      </w:r>
      <w:r>
        <w:rPr>
          <w:rFonts w:ascii="Times New Roman" w:hAnsi="Times New Roman" w:cs="Times New Roman"/>
          <w:b/>
          <w:sz w:val="20"/>
        </w:rPr>
        <w:t>-1 (implicit indication of group switching) is supported.</w:t>
      </w:r>
    </w:p>
    <w:p w14:paraId="7C1AD538" w14:textId="77777777" w:rsidR="00926781" w:rsidRPr="00972A6A" w:rsidRDefault="00926781" w:rsidP="00AA24B3"/>
    <w:p w14:paraId="2A2FB185" w14:textId="7F3F2B5A" w:rsidR="005A4C55" w:rsidRDefault="005A4C55" w:rsidP="00AB4BE0">
      <w:pPr>
        <w:pStyle w:val="Heading4"/>
        <w:tabs>
          <w:tab w:val="clear" w:pos="284"/>
        </w:tabs>
        <w:ind w:left="864" w:right="569" w:hanging="864"/>
      </w:pPr>
      <w:r>
        <w:t>4.4 Restriction of common search space set</w:t>
      </w:r>
    </w:p>
    <w:p w14:paraId="447CC24A" w14:textId="77777777" w:rsidR="005C341E" w:rsidRDefault="00F46303" w:rsidP="00537854">
      <w:pPr>
        <w:rPr>
          <w:rFonts w:ascii="Times New Roman" w:hAnsi="Times New Roman"/>
          <w:sz w:val="20"/>
        </w:rPr>
      </w:pPr>
      <w:r w:rsidRPr="00537854">
        <w:rPr>
          <w:rFonts w:ascii="Times New Roman" w:hAnsi="Times New Roman" w:cs="Times New Roman"/>
          <w:sz w:val="20"/>
        </w:rPr>
        <w:t xml:space="preserve">In the previous meeting, there was a proposal </w:t>
      </w:r>
      <w:r>
        <w:rPr>
          <w:rFonts w:ascii="Times New Roman" w:hAnsi="Times New Roman" w:cs="Times New Roman"/>
          <w:sz w:val="20"/>
        </w:rPr>
        <w:t>that the grouping can only be done to the UE-specific search space set.</w:t>
      </w:r>
      <w:r w:rsidR="00060708">
        <w:rPr>
          <w:rFonts w:ascii="Times New Roman" w:hAnsi="Times New Roman" w:cs="Times New Roman"/>
          <w:sz w:val="20"/>
        </w:rPr>
        <w:t xml:space="preserve"> We think such restriction is not needed. One use case is to include search space set for DCI format 2_0 in the grouping, in order to support mini-slot level monitoring of GC-PDCCH carrying COT structure outside the COT. For example, gNB can configure two search space sets for DCI format 2_0, one has slot-level monitoring that would be used within the COT, and the other has mini-slot level monitoring that would be used outside the COT. By putting these two search space sets into different groups, the switching between mini-slot and slot-based GC-PDCCH monitoring can be realized. </w:t>
      </w:r>
    </w:p>
    <w:p w14:paraId="356F0B6A" w14:textId="535DDD88" w:rsidR="00F46303" w:rsidRPr="00537854" w:rsidRDefault="005C341E" w:rsidP="00537854">
      <w:pPr>
        <w:rPr>
          <w:rFonts w:ascii="Times New Roman" w:hAnsi="Times New Roman"/>
          <w:sz w:val="20"/>
        </w:rPr>
      </w:pPr>
      <w:r>
        <w:rPr>
          <w:rFonts w:ascii="Times New Roman" w:hAnsi="Times New Roman" w:cs="Times New Roman"/>
          <w:sz w:val="20"/>
        </w:rPr>
        <w:t>Furthermore, as proposed in [1], UE can be configured to monitor only 1 BD for either GC-PDCCH or UE-specific PDCCH (with fall-back format to align the size with GC-PDCCH)</w:t>
      </w:r>
      <w:r w:rsidR="00CA46CD">
        <w:rPr>
          <w:rFonts w:ascii="Times New Roman" w:hAnsi="Times New Roman" w:cs="Times New Roman"/>
          <w:sz w:val="20"/>
        </w:rPr>
        <w:t xml:space="preserve"> at mini-slot level. Then it is gNB’s choice to send either GC-PDCCH carrying COT structure first or scheduling information for data first. The limit of BD/CCE per slot can still be maintained even if such monitoring occurs every two symbols.  </w:t>
      </w:r>
    </w:p>
    <w:p w14:paraId="57C696A8" w14:textId="1C9FA015" w:rsidR="00CA46CD" w:rsidRDefault="00CA46CD" w:rsidP="00CA46CD">
      <w:pPr>
        <w:pStyle w:val="BodyText"/>
        <w:spacing w:after="180"/>
        <w:rPr>
          <w:rFonts w:ascii="Times New Roman" w:hAnsi="Times New Roman" w:cs="Times New Roman"/>
          <w:b/>
          <w:sz w:val="20"/>
        </w:rPr>
      </w:pPr>
      <w:r>
        <w:rPr>
          <w:rFonts w:ascii="Times New Roman" w:hAnsi="Times New Roman" w:cs="Times New Roman"/>
          <w:b/>
          <w:sz w:val="20"/>
        </w:rPr>
        <w:t>Proposal 10: Grouping can also be applied to group-common search space set</w:t>
      </w:r>
      <w:r w:rsidR="00DA435C">
        <w:rPr>
          <w:rFonts w:ascii="Times New Roman" w:hAnsi="Times New Roman" w:cs="Times New Roman"/>
          <w:b/>
          <w:sz w:val="20"/>
        </w:rPr>
        <w:t xml:space="preserve"> including </w:t>
      </w:r>
      <w:r w:rsidR="005C4808">
        <w:rPr>
          <w:rFonts w:ascii="Times New Roman" w:hAnsi="Times New Roman" w:cs="Times New Roman"/>
          <w:b/>
          <w:sz w:val="20"/>
        </w:rPr>
        <w:t xml:space="preserve">the case </w:t>
      </w:r>
      <w:r>
        <w:rPr>
          <w:rFonts w:ascii="Times New Roman" w:hAnsi="Times New Roman" w:cs="Times New Roman"/>
          <w:b/>
          <w:sz w:val="20"/>
        </w:rPr>
        <w:t>for DCI format 2_0.</w:t>
      </w:r>
    </w:p>
    <w:p w14:paraId="3CEA159B" w14:textId="77777777" w:rsidR="00F46303" w:rsidRPr="00972A6A" w:rsidRDefault="00F46303" w:rsidP="00537854"/>
    <w:p w14:paraId="069D8AE1" w14:textId="745BFB42" w:rsidR="00AB4BE0" w:rsidRDefault="005A4C55" w:rsidP="00AB4BE0">
      <w:pPr>
        <w:pStyle w:val="Heading4"/>
        <w:tabs>
          <w:tab w:val="clear" w:pos="284"/>
        </w:tabs>
        <w:ind w:left="864" w:right="569" w:hanging="864"/>
      </w:pPr>
      <w:r>
        <w:t>4.5 Relation to DRX</w:t>
      </w:r>
      <w:r w:rsidR="00AB4BE0">
        <w:t xml:space="preserve"> </w:t>
      </w:r>
    </w:p>
    <w:p w14:paraId="4B6F3D4D" w14:textId="439AAB37" w:rsidR="00CE0A28" w:rsidRDefault="00CE0A28" w:rsidP="00537854">
      <w:pPr>
        <w:rPr>
          <w:rFonts w:ascii="Times New Roman" w:hAnsi="Times New Roman"/>
          <w:sz w:val="20"/>
        </w:rPr>
      </w:pPr>
      <w:r w:rsidRPr="00537854">
        <w:rPr>
          <w:rFonts w:ascii="Times New Roman" w:hAnsi="Times New Roman" w:cs="Times New Roman"/>
          <w:sz w:val="20"/>
        </w:rPr>
        <w:t xml:space="preserve">Once </w:t>
      </w:r>
      <w:r>
        <w:rPr>
          <w:rFonts w:ascii="Times New Roman" w:hAnsi="Times New Roman" w:cs="Times New Roman"/>
          <w:sz w:val="20"/>
        </w:rPr>
        <w:t>search space set group is configured, UE should also be configured with a default (or called fall-back) group that could be used in case of uncertainty. The uncertainty could happen, e.g. if UE has not monitored PDCCH or GC-PDCCH carrying COT structure for a while due to DRX off, or due to UL transmission. In such case, UE may not have information about the updated COT structure, including the COT duration. Therefore, UE cannot decide which group will be switched to. In such case, a pre-configured group should be used.</w:t>
      </w:r>
      <w:r w:rsidR="00425FEE">
        <w:rPr>
          <w:rFonts w:ascii="Times New Roman" w:hAnsi="Times New Roman" w:cs="Times New Roman"/>
          <w:sz w:val="20"/>
        </w:rPr>
        <w:t xml:space="preserve"> The same would be also applied for the case of inter/intra-frequency measurement gap.</w:t>
      </w:r>
    </w:p>
    <w:p w14:paraId="3A673718" w14:textId="235BA02E" w:rsidR="005A4C55" w:rsidRPr="00537854" w:rsidRDefault="00CE0A28" w:rsidP="00537854">
      <w:pPr>
        <w:rPr>
          <w:rFonts w:ascii="Times New Roman" w:hAnsi="Times New Roman"/>
          <w:b/>
          <w:sz w:val="20"/>
        </w:rPr>
      </w:pPr>
      <w:r w:rsidRPr="00537854">
        <w:rPr>
          <w:rFonts w:ascii="Times New Roman" w:hAnsi="Times New Roman" w:cs="Times New Roman"/>
          <w:b/>
          <w:sz w:val="20"/>
        </w:rPr>
        <w:t xml:space="preserve">Proposal 11: A fall-back group is configured to the UE which can be used </w:t>
      </w:r>
      <w:r w:rsidR="00E15C28" w:rsidRPr="00537854">
        <w:rPr>
          <w:rFonts w:ascii="Times New Roman" w:hAnsi="Times New Roman" w:cs="Times New Roman"/>
          <w:b/>
          <w:sz w:val="20"/>
        </w:rPr>
        <w:t>after a gap of no PDCCH monitoring due to DRX off or UL transmission.</w:t>
      </w:r>
      <w:r w:rsidRPr="00537854">
        <w:rPr>
          <w:rFonts w:ascii="Times New Roman" w:hAnsi="Times New Roman" w:cs="Times New Roman"/>
          <w:b/>
          <w:sz w:val="20"/>
        </w:rPr>
        <w:t xml:space="preserve">  </w:t>
      </w:r>
    </w:p>
    <w:p w14:paraId="1A0A2DDB" w14:textId="08C5E2DF" w:rsidR="00B675F7" w:rsidRDefault="00B675F7" w:rsidP="001C4200">
      <w:pPr>
        <w:pStyle w:val="BodyText"/>
        <w:spacing w:after="180"/>
        <w:rPr>
          <w:rFonts w:ascii="Times New Roman" w:hAnsi="Times New Roman" w:cs="Times New Roman"/>
          <w:b/>
          <w:sz w:val="20"/>
        </w:rPr>
      </w:pPr>
    </w:p>
    <w:p w14:paraId="2A9D308C" w14:textId="26ADC5BD" w:rsidR="00B675F7" w:rsidRDefault="00B675F7" w:rsidP="001C4200">
      <w:pPr>
        <w:pStyle w:val="BodyText"/>
        <w:spacing w:after="180"/>
        <w:rPr>
          <w:rFonts w:ascii="Times New Roman" w:hAnsi="Times New Roman" w:cs="Times New Roman"/>
          <w:b/>
          <w:sz w:val="20"/>
        </w:rPr>
      </w:pPr>
    </w:p>
    <w:p w14:paraId="7387A705" w14:textId="77777777" w:rsidR="00B675F7" w:rsidRPr="002E35F4" w:rsidRDefault="00B675F7" w:rsidP="001C4200">
      <w:pPr>
        <w:pStyle w:val="BodyText"/>
        <w:spacing w:after="180"/>
        <w:rPr>
          <w:rFonts w:ascii="Times New Roman" w:hAnsi="Times New Roman" w:cs="Times New Roman"/>
          <w:b/>
          <w:sz w:val="20"/>
        </w:rPr>
      </w:pPr>
    </w:p>
    <w:bookmarkEnd w:id="1"/>
    <w:p w14:paraId="0E00AE9A" w14:textId="53033B29" w:rsidR="00D40141" w:rsidRDefault="00005D5E" w:rsidP="00D40141">
      <w:pPr>
        <w:pStyle w:val="Heading1"/>
        <w:tabs>
          <w:tab w:val="clear" w:pos="4969"/>
          <w:tab w:val="num" w:pos="432"/>
        </w:tabs>
        <w:ind w:left="702" w:hangingChars="195" w:hanging="702"/>
        <w:jc w:val="both"/>
      </w:pPr>
      <w:r>
        <w:rPr>
          <w:rFonts w:hint="eastAsia"/>
          <w:lang w:eastAsia="ja-JP"/>
        </w:rPr>
        <w:t xml:space="preserve">DMRS </w:t>
      </w:r>
      <w:r>
        <w:t xml:space="preserve">for </w:t>
      </w:r>
      <w:r w:rsidR="00D40141">
        <w:t>PDSCH</w:t>
      </w:r>
      <w:r>
        <w:t xml:space="preserve"> mapping type B</w:t>
      </w:r>
    </w:p>
    <w:p w14:paraId="0CCBF50F" w14:textId="285830C7" w:rsidR="00FF54FA" w:rsidRDefault="00005D5E" w:rsidP="00045A5C">
      <w:pPr>
        <w:pStyle w:val="BodyText"/>
        <w:spacing w:after="180"/>
        <w:rPr>
          <w:rFonts w:ascii="Times New Roman" w:hAnsi="Times New Roman" w:cs="Times New Roman"/>
          <w:sz w:val="20"/>
        </w:rPr>
      </w:pPr>
      <w:r w:rsidRPr="002E35F4">
        <w:rPr>
          <w:rFonts w:ascii="Times New Roman" w:hAnsi="Times New Roman" w:cs="Times New Roman"/>
          <w:sz w:val="20"/>
        </w:rPr>
        <w:t>For NR-U, PDSC</w:t>
      </w:r>
      <w:r w:rsidR="00FF54FA" w:rsidRPr="002E35F4">
        <w:rPr>
          <w:rFonts w:ascii="Times New Roman" w:hAnsi="Times New Roman" w:cs="Times New Roman"/>
          <w:sz w:val="20"/>
        </w:rPr>
        <w:t>H mapping type B with the durations</w:t>
      </w:r>
      <w:r w:rsidRPr="002E35F4">
        <w:rPr>
          <w:rFonts w:ascii="Times New Roman" w:hAnsi="Times New Roman" w:cs="Times New Roman"/>
          <w:sz w:val="20"/>
        </w:rPr>
        <w:t xml:space="preserve"> </w:t>
      </w:r>
      <w:r w:rsidR="00AB06E5" w:rsidRPr="002E35F4">
        <w:rPr>
          <w:rFonts w:ascii="Times New Roman" w:hAnsi="Times New Roman" w:cs="Times New Roman"/>
          <w:sz w:val="20"/>
        </w:rPr>
        <w:t xml:space="preserve">from 2 to </w:t>
      </w:r>
      <w:r w:rsidRPr="002E35F4">
        <w:rPr>
          <w:rFonts w:ascii="Times New Roman" w:hAnsi="Times New Roman" w:cs="Times New Roman"/>
          <w:sz w:val="20"/>
        </w:rPr>
        <w:t>13 is supported. The DMRS mapping</w:t>
      </w:r>
      <w:r w:rsidR="004A08BA" w:rsidRPr="002E35F4">
        <w:rPr>
          <w:rFonts w:ascii="Times New Roman" w:hAnsi="Times New Roman" w:cs="Times New Roman"/>
          <w:sz w:val="20"/>
        </w:rPr>
        <w:t xml:space="preserve"> position</w:t>
      </w:r>
      <w:r w:rsidRPr="002E35F4">
        <w:rPr>
          <w:rFonts w:ascii="Times New Roman" w:hAnsi="Times New Roman" w:cs="Times New Roman"/>
          <w:sz w:val="20"/>
        </w:rPr>
        <w:t xml:space="preserve"> for </w:t>
      </w:r>
      <w:r w:rsidR="00E16424">
        <w:rPr>
          <w:rFonts w:ascii="Times New Roman" w:hAnsi="Times New Roman" w:cs="Times New Roman"/>
          <w:sz w:val="20"/>
        </w:rPr>
        <w:t>some</w:t>
      </w:r>
      <w:r w:rsidRPr="002E35F4">
        <w:rPr>
          <w:rFonts w:ascii="Times New Roman" w:hAnsi="Times New Roman" w:cs="Times New Roman"/>
          <w:sz w:val="20"/>
        </w:rPr>
        <w:t xml:space="preserve"> PDSCH mapping type B is</w:t>
      </w:r>
      <w:r w:rsidR="00E16424" w:rsidRPr="00E16424">
        <w:rPr>
          <w:rFonts w:ascii="Times New Roman" w:eastAsia="MS Mincho" w:hAnsi="Times New Roman" w:cs="Times New Roman"/>
          <w:sz w:val="20"/>
          <w:szCs w:val="20"/>
        </w:rPr>
        <w:t xml:space="preserve"> </w:t>
      </w:r>
      <w:r w:rsidR="00E16424">
        <w:rPr>
          <w:rFonts w:ascii="Times New Roman" w:eastAsia="MS Mincho" w:hAnsi="Times New Roman" w:cs="Times New Roman"/>
          <w:sz w:val="20"/>
          <w:szCs w:val="20"/>
        </w:rPr>
        <w:t xml:space="preserve">still open although </w:t>
      </w:r>
      <w:r w:rsidR="00FA1820">
        <w:rPr>
          <w:rFonts w:ascii="Times New Roman" w:eastAsia="MS Mincho" w:hAnsi="Times New Roman" w:cs="Times New Roman"/>
          <w:sz w:val="20"/>
          <w:szCs w:val="20"/>
        </w:rPr>
        <w:t>one</w:t>
      </w:r>
      <w:r w:rsidR="00E16424">
        <w:rPr>
          <w:rFonts w:ascii="Times New Roman" w:eastAsia="MS Mincho" w:hAnsi="Times New Roman" w:cs="Times New Roman"/>
          <w:sz w:val="20"/>
          <w:szCs w:val="20"/>
        </w:rPr>
        <w:t xml:space="preserve"> for the other PDSCH mapping is specified in Rel-15 or </w:t>
      </w:r>
      <w:r w:rsidR="00FA1820">
        <w:rPr>
          <w:rFonts w:ascii="Times New Roman" w:eastAsia="MS Mincho" w:hAnsi="Times New Roman" w:cs="Times New Roman"/>
          <w:sz w:val="20"/>
          <w:szCs w:val="20"/>
        </w:rPr>
        <w:t xml:space="preserve">was </w:t>
      </w:r>
      <w:r w:rsidR="00E16424">
        <w:rPr>
          <w:rFonts w:ascii="Times New Roman" w:eastAsia="MS Mincho" w:hAnsi="Times New Roman" w:cs="Times New Roman"/>
          <w:sz w:val="20"/>
          <w:szCs w:val="20"/>
        </w:rPr>
        <w:t>agreed in NR-U session in RAN1 #98</w:t>
      </w:r>
      <w:r w:rsidR="00A1184B">
        <w:rPr>
          <w:rFonts w:ascii="Times New Roman" w:eastAsia="MS Mincho" w:hAnsi="Times New Roman" w:cs="Times New Roman"/>
          <w:sz w:val="20"/>
          <w:szCs w:val="20"/>
        </w:rPr>
        <w:t xml:space="preserve"> as follows:</w:t>
      </w:r>
    </w:p>
    <w:tbl>
      <w:tblPr>
        <w:tblStyle w:val="TableGrid"/>
        <w:tblW w:w="0" w:type="auto"/>
        <w:tblLook w:val="04A0" w:firstRow="1" w:lastRow="0" w:firstColumn="1" w:lastColumn="0" w:noHBand="0" w:noVBand="1"/>
      </w:tblPr>
      <w:tblGrid>
        <w:gridCol w:w="9629"/>
      </w:tblGrid>
      <w:tr w:rsidR="00E16424" w14:paraId="31EE67C2" w14:textId="77777777" w:rsidTr="00E16424">
        <w:tc>
          <w:tcPr>
            <w:tcW w:w="9629" w:type="dxa"/>
          </w:tcPr>
          <w:p w14:paraId="2BB60998" w14:textId="77777777" w:rsidR="00E16424" w:rsidRPr="001F7993" w:rsidRDefault="00E16424" w:rsidP="00E16424">
            <w:pPr>
              <w:rPr>
                <w:rFonts w:ascii="Times" w:eastAsia="Batang" w:hAnsi="Times" w:cs="Times New Roman"/>
                <w:sz w:val="20"/>
                <w:szCs w:val="24"/>
                <w:lang w:eastAsia="x-none"/>
              </w:rPr>
            </w:pPr>
            <w:r w:rsidRPr="001F7993">
              <w:rPr>
                <w:rFonts w:ascii="Times" w:eastAsia="Batang" w:hAnsi="Times" w:cs="Times New Roman"/>
                <w:sz w:val="20"/>
                <w:szCs w:val="24"/>
                <w:highlight w:val="green"/>
                <w:lang w:eastAsia="x-none"/>
              </w:rPr>
              <w:t>Agreement:</w:t>
            </w:r>
          </w:p>
          <w:p w14:paraId="019AD4E7" w14:textId="77777777" w:rsidR="00E16424" w:rsidRPr="001F7993" w:rsidRDefault="00E16424" w:rsidP="00E16424">
            <w:pPr>
              <w:numPr>
                <w:ilvl w:val="0"/>
                <w:numId w:val="30"/>
              </w:numPr>
              <w:rPr>
                <w:rFonts w:ascii="Times" w:eastAsia="Batang" w:hAnsi="Times" w:cs="Times New Roman"/>
                <w:sz w:val="20"/>
                <w:szCs w:val="24"/>
                <w:lang w:eastAsia="x-none"/>
              </w:rPr>
            </w:pPr>
            <w:r w:rsidRPr="001F7993">
              <w:rPr>
                <w:rFonts w:ascii="Times" w:eastAsia="Batang" w:hAnsi="Times" w:cs="Times New Roman"/>
                <w:sz w:val="20"/>
                <w:szCs w:val="24"/>
                <w:lang w:eastAsia="x-none"/>
              </w:rPr>
              <w:t>The following is agreed for DM-RS positions for PDSCH mapping Type B of length 9 and 10:</w:t>
            </w:r>
          </w:p>
          <w:p w14:paraId="2BE65CBD" w14:textId="77777777" w:rsidR="00E16424" w:rsidRPr="001F7993" w:rsidRDefault="00E16424" w:rsidP="00DB2658">
            <w:pPr>
              <w:rPr>
                <w:rFonts w:ascii="Times" w:eastAsia="Batang" w:hAnsi="Times" w:cs="Times New Roman"/>
                <w:sz w:val="20"/>
                <w:szCs w:val="24"/>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E16424" w:rsidRPr="001F7993" w14:paraId="0792BEA2" w14:textId="77777777" w:rsidTr="00626A4C">
              <w:trPr>
                <w:jc w:val="center"/>
              </w:trPr>
              <w:tc>
                <w:tcPr>
                  <w:tcW w:w="956" w:type="dxa"/>
                  <w:vMerge w:val="restart"/>
                  <w:shd w:val="clear" w:color="auto" w:fill="auto"/>
                </w:tcPr>
                <w:p w14:paraId="3F8088B1" w14:textId="77777777" w:rsidR="00E16424" w:rsidRPr="001F7993" w:rsidRDefault="00974899" w:rsidP="00DB2658">
                  <w:pPr>
                    <w:keepNext/>
                    <w:keepLines/>
                    <w:jc w:val="center"/>
                    <w:rPr>
                      <w:rFonts w:ascii="Arial" w:eastAsia="Batang" w:hAnsi="Arial" w:cs="Times New Roman"/>
                      <w:b/>
                      <w:sz w:val="18"/>
                      <w:szCs w:val="20"/>
                      <w:lang w:eastAsia="en-US"/>
                    </w:rPr>
                  </w:pPr>
                  <m:oMath>
                    <m:sSub>
                      <m:sSubPr>
                        <m:ctrlPr>
                          <w:rPr>
                            <w:rFonts w:ascii="Cambria Math" w:eastAsia="Times New Roman" w:hAnsi="Cambria Math" w:cs="Times New Roman"/>
                            <w:i/>
                            <w:sz w:val="20"/>
                            <w:szCs w:val="20"/>
                            <w:lang w:eastAsia="en-US"/>
                          </w:rPr>
                        </m:ctrlPr>
                      </m:sSubPr>
                      <m:e>
                        <m:r>
                          <m:rPr>
                            <m:sty m:val="bi"/>
                          </m:rPr>
                          <w:rPr>
                            <w:rFonts w:ascii="Cambria Math" w:eastAsia="Times New Roman" w:hAnsi="Cambria Math" w:cs="Times New Roman"/>
                            <w:sz w:val="18"/>
                            <w:szCs w:val="20"/>
                            <w:lang w:eastAsia="en-US"/>
                          </w:rPr>
                          <m:t>l</m:t>
                        </m:r>
                      </m:e>
                      <m:sub>
                        <m:r>
                          <m:rPr>
                            <m:nor/>
                          </m:rPr>
                          <w:rPr>
                            <w:rFonts w:ascii="Cambria Math" w:eastAsia="Times New Roman" w:hAnsi="Cambria Math" w:cs="Times New Roman"/>
                            <w:b/>
                            <w:sz w:val="18"/>
                            <w:szCs w:val="20"/>
                            <w:lang w:eastAsia="en-US"/>
                          </w:rPr>
                          <m:t>d</m:t>
                        </m:r>
                      </m:sub>
                    </m:sSub>
                  </m:oMath>
                  <w:r w:rsidR="00E16424" w:rsidRPr="001F7993">
                    <w:rPr>
                      <w:rFonts w:ascii="Arial" w:eastAsia="Batang" w:hAnsi="Arial" w:cs="Times New Roman"/>
                      <w:sz w:val="20"/>
                      <w:szCs w:val="20"/>
                      <w:lang w:eastAsia="en-US"/>
                    </w:rPr>
                    <w:t xml:space="preserve"> </w:t>
                  </w:r>
                  <w:r w:rsidR="00E16424" w:rsidRPr="001F7993">
                    <w:rPr>
                      <w:rFonts w:ascii="Arial" w:eastAsia="Batang" w:hAnsi="Arial" w:cs="Times New Roman"/>
                      <w:b/>
                      <w:sz w:val="18"/>
                      <w:szCs w:val="20"/>
                      <w:lang w:eastAsia="en-US"/>
                    </w:rPr>
                    <w:t xml:space="preserve"> in symbols</w:t>
                  </w:r>
                </w:p>
              </w:tc>
              <w:tc>
                <w:tcPr>
                  <w:tcW w:w="3622" w:type="dxa"/>
                  <w:gridSpan w:val="4"/>
                  <w:tcBorders>
                    <w:bottom w:val="single" w:sz="4" w:space="0" w:color="auto"/>
                  </w:tcBorders>
                  <w:shd w:val="clear" w:color="auto" w:fill="auto"/>
                </w:tcPr>
                <w:p w14:paraId="4108BEF6" w14:textId="77777777" w:rsidR="00E16424" w:rsidRPr="001F7993" w:rsidRDefault="00E16424" w:rsidP="00DB2658">
                  <w:pPr>
                    <w:keepNext/>
                    <w:keepLines/>
                    <w:jc w:val="center"/>
                    <w:rPr>
                      <w:rFonts w:ascii="Arial" w:eastAsia="Times New Roman" w:hAnsi="Arial" w:cs="Times New Roman"/>
                      <w:b/>
                      <w:position w:val="-10"/>
                      <w:sz w:val="18"/>
                      <w:szCs w:val="20"/>
                      <w:lang w:eastAsia="en-US"/>
                    </w:rPr>
                  </w:pPr>
                  <w:r w:rsidRPr="001F7993">
                    <w:rPr>
                      <w:rFonts w:ascii="Arial" w:eastAsia="Batang" w:hAnsi="Arial" w:cs="Times New Roman"/>
                      <w:b/>
                      <w:sz w:val="18"/>
                      <w:szCs w:val="20"/>
                      <w:lang w:eastAsia="en-US"/>
                    </w:rPr>
                    <w:t xml:space="preserve">DM-RS positions </w:t>
                  </w:r>
                  <w:r w:rsidRPr="001F7993">
                    <w:rPr>
                      <w:rFonts w:ascii="Arial" w:eastAsia="Batang" w:hAnsi="Arial" w:cs="Times New Roman"/>
                      <w:b/>
                      <w:position w:val="-6"/>
                      <w:sz w:val="18"/>
                      <w:szCs w:val="20"/>
                      <w:lang w:eastAsia="en-US"/>
                    </w:rPr>
                    <w:object w:dxaOrig="160" w:dyaOrig="300" w14:anchorId="794CBDDB">
                      <v:shape id="_x0000_i1026" type="#_x0000_t75" style="width:7.7pt;height:14.55pt" o:ole="">
                        <v:imagedata r:id="rId14" o:title=""/>
                      </v:shape>
                      <o:OLEObject Type="Embed" ProgID="Equation.3" ShapeID="_x0000_i1026" DrawAspect="Content" ObjectID="_1634728534" r:id="rId15"/>
                    </w:object>
                  </w:r>
                </w:p>
              </w:tc>
            </w:tr>
            <w:tr w:rsidR="00E16424" w:rsidRPr="001F7993" w14:paraId="4D35497D" w14:textId="77777777" w:rsidTr="00626A4C">
              <w:trPr>
                <w:jc w:val="center"/>
              </w:trPr>
              <w:tc>
                <w:tcPr>
                  <w:tcW w:w="956" w:type="dxa"/>
                  <w:vMerge/>
                  <w:shd w:val="clear" w:color="auto" w:fill="auto"/>
                </w:tcPr>
                <w:p w14:paraId="23A80978" w14:textId="77777777" w:rsidR="00E16424" w:rsidRPr="001F7993" w:rsidRDefault="00E16424" w:rsidP="00CB197E">
                  <w:pPr>
                    <w:keepNext/>
                    <w:keepLines/>
                    <w:jc w:val="center"/>
                    <w:rPr>
                      <w:rFonts w:ascii="Arial" w:eastAsia="Batang" w:hAnsi="Arial" w:cs="Times New Roman"/>
                      <w:b/>
                      <w:sz w:val="18"/>
                      <w:szCs w:val="20"/>
                      <w:lang w:eastAsia="en-US"/>
                    </w:rPr>
                  </w:pPr>
                </w:p>
              </w:tc>
              <w:tc>
                <w:tcPr>
                  <w:tcW w:w="3622" w:type="dxa"/>
                  <w:gridSpan w:val="4"/>
                  <w:tcBorders>
                    <w:bottom w:val="nil"/>
                  </w:tcBorders>
                  <w:shd w:val="clear" w:color="auto" w:fill="auto"/>
                </w:tcPr>
                <w:p w14:paraId="0080186A" w14:textId="77777777" w:rsidR="00E16424" w:rsidRPr="001F7993" w:rsidRDefault="00E16424" w:rsidP="00CB197E">
                  <w:pPr>
                    <w:keepNext/>
                    <w:keepLines/>
                    <w:jc w:val="center"/>
                    <w:rPr>
                      <w:rFonts w:ascii="Arial" w:eastAsia="Times New Roman" w:hAnsi="Arial" w:cs="Times New Roman"/>
                      <w:b/>
                      <w:position w:val="-10"/>
                      <w:sz w:val="18"/>
                      <w:szCs w:val="20"/>
                      <w:lang w:eastAsia="en-US"/>
                    </w:rPr>
                  </w:pPr>
                  <w:r w:rsidRPr="001F7993">
                    <w:rPr>
                      <w:rFonts w:ascii="Arial" w:eastAsia="Batang" w:hAnsi="Arial" w:cs="Times New Roman"/>
                      <w:b/>
                      <w:sz w:val="18"/>
                      <w:szCs w:val="20"/>
                      <w:lang w:eastAsia="en-US"/>
                    </w:rPr>
                    <w:t>PDSCH mapping type B</w:t>
                  </w:r>
                </w:p>
              </w:tc>
            </w:tr>
            <w:tr w:rsidR="00E16424" w:rsidRPr="001F7993" w14:paraId="4FADA192" w14:textId="77777777" w:rsidTr="00626A4C">
              <w:trPr>
                <w:jc w:val="center"/>
              </w:trPr>
              <w:tc>
                <w:tcPr>
                  <w:tcW w:w="956" w:type="dxa"/>
                  <w:vMerge/>
                  <w:shd w:val="clear" w:color="auto" w:fill="auto"/>
                </w:tcPr>
                <w:p w14:paraId="105115FC" w14:textId="77777777" w:rsidR="00E16424" w:rsidRPr="001F7993" w:rsidRDefault="00E16424" w:rsidP="00CB197E">
                  <w:pPr>
                    <w:keepNext/>
                    <w:keepLines/>
                    <w:jc w:val="center"/>
                    <w:rPr>
                      <w:rFonts w:ascii="Arial" w:eastAsia="Batang" w:hAnsi="Arial" w:cs="Times New Roman"/>
                      <w:b/>
                      <w:sz w:val="18"/>
                      <w:szCs w:val="20"/>
                      <w:lang w:eastAsia="en-US"/>
                    </w:rPr>
                  </w:pPr>
                </w:p>
              </w:tc>
              <w:tc>
                <w:tcPr>
                  <w:tcW w:w="3622" w:type="dxa"/>
                  <w:gridSpan w:val="4"/>
                  <w:tcBorders>
                    <w:top w:val="nil"/>
                  </w:tcBorders>
                  <w:shd w:val="clear" w:color="auto" w:fill="auto"/>
                </w:tcPr>
                <w:p w14:paraId="11C50DC3" w14:textId="77777777" w:rsidR="00E16424" w:rsidRPr="001F7993" w:rsidRDefault="00E16424" w:rsidP="00CB197E">
                  <w:pPr>
                    <w:keepNext/>
                    <w:keepLines/>
                    <w:jc w:val="center"/>
                    <w:rPr>
                      <w:rFonts w:ascii="Arial" w:eastAsia="Times New Roman" w:hAnsi="Arial" w:cs="Times New Roman"/>
                      <w:b/>
                      <w:position w:val="-10"/>
                      <w:sz w:val="18"/>
                      <w:szCs w:val="20"/>
                      <w:lang w:eastAsia="en-US"/>
                    </w:rPr>
                  </w:pPr>
                  <w:r w:rsidRPr="001F7993">
                    <w:rPr>
                      <w:rFonts w:ascii="Arial" w:eastAsia="Batang" w:hAnsi="Arial" w:cs="Times New Roman"/>
                      <w:b/>
                      <w:i/>
                      <w:sz w:val="18"/>
                      <w:szCs w:val="20"/>
                      <w:lang w:eastAsia="en-US"/>
                    </w:rPr>
                    <w:t>dmrs-AdditionalPosition</w:t>
                  </w:r>
                </w:p>
              </w:tc>
            </w:tr>
            <w:tr w:rsidR="00E16424" w:rsidRPr="001F7993" w14:paraId="4BB12916" w14:textId="77777777" w:rsidTr="00626A4C">
              <w:trPr>
                <w:jc w:val="center"/>
              </w:trPr>
              <w:tc>
                <w:tcPr>
                  <w:tcW w:w="956" w:type="dxa"/>
                  <w:vMerge/>
                  <w:shd w:val="clear" w:color="auto" w:fill="auto"/>
                </w:tcPr>
                <w:p w14:paraId="531C2C90" w14:textId="77777777" w:rsidR="00E16424" w:rsidRPr="001F7993" w:rsidRDefault="00E16424" w:rsidP="00CB197E">
                  <w:pPr>
                    <w:keepNext/>
                    <w:keepLines/>
                    <w:jc w:val="center"/>
                    <w:rPr>
                      <w:rFonts w:ascii="Arial" w:eastAsia="Batang" w:hAnsi="Arial" w:cs="Times New Roman"/>
                      <w:b/>
                      <w:sz w:val="18"/>
                      <w:szCs w:val="20"/>
                      <w:lang w:eastAsia="en-US"/>
                    </w:rPr>
                  </w:pPr>
                </w:p>
              </w:tc>
              <w:tc>
                <w:tcPr>
                  <w:tcW w:w="645" w:type="dxa"/>
                  <w:shd w:val="clear" w:color="auto" w:fill="auto"/>
                </w:tcPr>
                <w:p w14:paraId="7AE677EF"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0</w:t>
                  </w:r>
                </w:p>
              </w:tc>
              <w:tc>
                <w:tcPr>
                  <w:tcW w:w="850" w:type="dxa"/>
                  <w:shd w:val="clear" w:color="auto" w:fill="auto"/>
                </w:tcPr>
                <w:p w14:paraId="7694140A"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1</w:t>
                  </w:r>
                </w:p>
              </w:tc>
              <w:tc>
                <w:tcPr>
                  <w:tcW w:w="993" w:type="dxa"/>
                  <w:shd w:val="clear" w:color="auto" w:fill="auto"/>
                </w:tcPr>
                <w:p w14:paraId="29D1CC87"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2</w:t>
                  </w:r>
                </w:p>
              </w:tc>
              <w:tc>
                <w:tcPr>
                  <w:tcW w:w="1134" w:type="dxa"/>
                  <w:shd w:val="clear" w:color="auto" w:fill="auto"/>
                </w:tcPr>
                <w:p w14:paraId="70A02B7C"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3</w:t>
                  </w:r>
                </w:p>
              </w:tc>
            </w:tr>
            <w:tr w:rsidR="00E16424" w:rsidRPr="001F7993" w14:paraId="1D8DD14C" w14:textId="77777777" w:rsidTr="00626A4C">
              <w:trPr>
                <w:jc w:val="center"/>
              </w:trPr>
              <w:tc>
                <w:tcPr>
                  <w:tcW w:w="956" w:type="dxa"/>
                  <w:shd w:val="clear" w:color="auto" w:fill="FFFFFF"/>
                </w:tcPr>
                <w:p w14:paraId="66820057"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Batang" w:hAnsi="Arial" w:cs="Times New Roman"/>
                      <w:sz w:val="18"/>
                      <w:szCs w:val="20"/>
                      <w:lang w:eastAsia="en-US"/>
                    </w:rPr>
                    <w:t>9</w:t>
                  </w:r>
                </w:p>
              </w:tc>
              <w:tc>
                <w:tcPr>
                  <w:tcW w:w="645" w:type="dxa"/>
                  <w:shd w:val="clear" w:color="auto" w:fill="FFFFFF"/>
                </w:tcPr>
                <w:p w14:paraId="2453F129"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4A438E25" wp14:editId="1CB0F9EF">
                        <wp:extent cx="95250" cy="18288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4357666B"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4C710D28" wp14:editId="28128E60">
                        <wp:extent cx="95250" cy="1828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993" w:type="dxa"/>
                  <w:shd w:val="clear" w:color="auto" w:fill="FFFFFF"/>
                </w:tcPr>
                <w:p w14:paraId="0B00FD60"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6AECC05B" wp14:editId="179C47D7">
                        <wp:extent cx="95250" cy="18288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34" w:type="dxa"/>
                  <w:shd w:val="clear" w:color="auto" w:fill="FFFFFF"/>
                </w:tcPr>
                <w:p w14:paraId="400511EF"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617CC26B" wp14:editId="0A3B6F5F">
                        <wp:extent cx="95250" cy="182880"/>
                        <wp:effectExtent l="0" t="0" r="0" b="0"/>
                        <wp:docPr id="7"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r w:rsidR="00E16424" w:rsidRPr="001F7993" w14:paraId="73556AB7" w14:textId="77777777" w:rsidTr="00626A4C">
              <w:trPr>
                <w:jc w:val="center"/>
              </w:trPr>
              <w:tc>
                <w:tcPr>
                  <w:tcW w:w="956" w:type="dxa"/>
                  <w:shd w:val="clear" w:color="auto" w:fill="FFFFFF"/>
                </w:tcPr>
                <w:p w14:paraId="64A3116C"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Batang" w:hAnsi="Arial" w:cs="Times New Roman"/>
                      <w:sz w:val="18"/>
                      <w:szCs w:val="20"/>
                      <w:lang w:eastAsia="en-US"/>
                    </w:rPr>
                    <w:t>10</w:t>
                  </w:r>
                </w:p>
              </w:tc>
              <w:tc>
                <w:tcPr>
                  <w:tcW w:w="645" w:type="dxa"/>
                  <w:shd w:val="clear" w:color="auto" w:fill="FFFFFF"/>
                </w:tcPr>
                <w:p w14:paraId="5EE03AA4"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252C4397" wp14:editId="2E29B48C">
                        <wp:extent cx="95250" cy="182880"/>
                        <wp:effectExtent l="0" t="0" r="0" b="0"/>
                        <wp:docPr id="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5B36A0AF"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11003DA6" wp14:editId="5149B42A">
                        <wp:extent cx="95250" cy="182880"/>
                        <wp:effectExtent l="0" t="0" r="0" b="0"/>
                        <wp:docPr id="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993" w:type="dxa"/>
                  <w:shd w:val="clear" w:color="auto" w:fill="FFFFFF"/>
                </w:tcPr>
                <w:p w14:paraId="59BF441F"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13918534" wp14:editId="50AFDC7A">
                        <wp:extent cx="95250" cy="182880"/>
                        <wp:effectExtent l="0" t="0" r="0" b="0"/>
                        <wp:docPr id="1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34" w:type="dxa"/>
                  <w:shd w:val="clear" w:color="auto" w:fill="FFFFFF"/>
                </w:tcPr>
                <w:p w14:paraId="19A53E58"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05AA2431" wp14:editId="6B3B268B">
                        <wp:extent cx="95250" cy="182880"/>
                        <wp:effectExtent l="0" t="0" r="0" b="0"/>
                        <wp:docPr id="11"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bl>
          <w:p w14:paraId="2EEBE9E4" w14:textId="77777777" w:rsidR="00E16424" w:rsidRPr="001F7993" w:rsidRDefault="00E16424" w:rsidP="00E16424">
            <w:pPr>
              <w:numPr>
                <w:ilvl w:val="0"/>
                <w:numId w:val="30"/>
              </w:numPr>
              <w:rPr>
                <w:rFonts w:ascii="Times" w:eastAsia="Batang" w:hAnsi="Times" w:cs="Times New Roman"/>
                <w:sz w:val="20"/>
                <w:szCs w:val="24"/>
                <w:lang w:eastAsia="x-none"/>
              </w:rPr>
            </w:pPr>
            <w:bookmarkStart w:id="2" w:name="_Hlk20836298"/>
            <w:r w:rsidRPr="001F7993">
              <w:rPr>
                <w:rFonts w:ascii="Times" w:eastAsia="Times New Roman" w:hAnsi="Times" w:cs="Times New Roman"/>
                <w:sz w:val="20"/>
                <w:szCs w:val="20"/>
              </w:rPr>
              <w:t xml:space="preserve">If the PDSCH duration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18"/>
                      <w:szCs w:val="20"/>
                    </w:rPr>
                    <m:t>l</m:t>
                  </m:r>
                </m:e>
                <m:sub>
                  <m:r>
                    <m:rPr>
                      <m:nor/>
                    </m:rPr>
                    <w:rPr>
                      <w:rFonts w:ascii="Cambria Math" w:eastAsia="Times New Roman" w:hAnsi="Cambria Math" w:cs="Times New Roman"/>
                      <w:sz w:val="18"/>
                      <w:szCs w:val="20"/>
                    </w:rPr>
                    <m:t>d</m:t>
                  </m:r>
                </m:sub>
              </m:sSub>
            </m:oMath>
            <w:r w:rsidRPr="001F7993">
              <w:rPr>
                <w:rFonts w:ascii="Times" w:eastAsia="Times New Roman" w:hAnsi="Times" w:cs="Times New Roman"/>
                <w:sz w:val="20"/>
                <w:szCs w:val="20"/>
              </w:rPr>
              <w:t xml:space="preserve"> is 10 OFDM symbols for normal cyclic prefix, and if at least one of the DM-RS symbols corresponding to the PDSCH allocation collides with resources reserved for at least one of the symbols of a LTE CRS transmission, </w:t>
            </w:r>
            <w:r w:rsidRPr="001F7993">
              <w:rPr>
                <w:rFonts w:ascii="Times" w:eastAsia="Batang" w:hAnsi="Times" w:cs="Times New Roman"/>
                <w:position w:val="-6"/>
                <w:sz w:val="20"/>
                <w:szCs w:val="24"/>
                <w:lang w:val="en-US" w:eastAsia="zh-CN"/>
              </w:rPr>
              <w:object w:dxaOrig="160" w:dyaOrig="300" w14:anchorId="101C60B0">
                <v:shape id="_x0000_i1027" type="#_x0000_t75" style="width:8.15pt;height:15pt" o:ole="">
                  <v:imagedata r:id="rId14" o:title=""/>
                </v:shape>
                <o:OLEObject Type="Embed" ProgID="Equation.3" ShapeID="_x0000_i1027" DrawAspect="Content" ObjectID="_1634728535" r:id="rId17"/>
              </w:object>
            </w:r>
            <w:r w:rsidRPr="001F7993">
              <w:rPr>
                <w:rFonts w:ascii="Times" w:eastAsia="Times New Roman" w:hAnsi="Times" w:cs="Times New Roman"/>
                <w:sz w:val="20"/>
                <w:szCs w:val="20"/>
              </w:rPr>
              <w:t>shall be incremented by 1</w:t>
            </w:r>
          </w:p>
          <w:bookmarkEnd w:id="2"/>
          <w:p w14:paraId="181D2A59" w14:textId="0544341B" w:rsidR="00E16424" w:rsidRPr="004B10EC" w:rsidRDefault="00E16424" w:rsidP="00CB197E">
            <w:pPr>
              <w:numPr>
                <w:ilvl w:val="1"/>
                <w:numId w:val="30"/>
              </w:numPr>
              <w:rPr>
                <w:rFonts w:ascii="Times New Roman" w:hAnsi="Times New Roman" w:cs="Times New Roman"/>
                <w:sz w:val="20"/>
              </w:rPr>
            </w:pPr>
            <w:r w:rsidRPr="001F7993">
              <w:rPr>
                <w:rFonts w:ascii="Times" w:eastAsia="Times New Roman" w:hAnsi="Times" w:cs="Times New Roman"/>
                <w:sz w:val="20"/>
                <w:szCs w:val="20"/>
              </w:rPr>
              <w:t>FFS: Whether the increment is applicable to all slots or a subset of slots</w:t>
            </w:r>
          </w:p>
        </w:tc>
      </w:tr>
    </w:tbl>
    <w:p w14:paraId="73D8629D" w14:textId="77777777" w:rsidR="00E16424" w:rsidRPr="002E35F4" w:rsidRDefault="00E16424" w:rsidP="00045A5C">
      <w:pPr>
        <w:pStyle w:val="BodyText"/>
        <w:spacing w:after="180"/>
        <w:rPr>
          <w:rFonts w:ascii="Times New Roman" w:hAnsi="Times New Roman" w:cs="Times New Roman"/>
          <w:sz w:val="20"/>
        </w:rPr>
      </w:pPr>
    </w:p>
    <w:p w14:paraId="30318E14" w14:textId="5B1B4A2C" w:rsidR="00F56D19" w:rsidRDefault="004A08BA" w:rsidP="00045A5C">
      <w:pPr>
        <w:pStyle w:val="BodyText"/>
        <w:spacing w:after="180"/>
        <w:rPr>
          <w:rFonts w:ascii="Times New Roman" w:hAnsi="Times New Roman" w:cs="Times New Roman"/>
          <w:sz w:val="20"/>
        </w:rPr>
      </w:pPr>
      <w:r w:rsidRPr="002E35F4">
        <w:rPr>
          <w:rFonts w:ascii="Times New Roman" w:hAnsi="Times New Roman" w:cs="Times New Roman"/>
          <w:sz w:val="20"/>
        </w:rPr>
        <w:t>We propose t</w:t>
      </w:r>
      <w:r w:rsidR="00AF6237" w:rsidRPr="002E35F4">
        <w:rPr>
          <w:rFonts w:ascii="Times New Roman" w:hAnsi="Times New Roman" w:cs="Times New Roman"/>
          <w:sz w:val="20"/>
        </w:rPr>
        <w:t xml:space="preserve">hat </w:t>
      </w:r>
      <w:r w:rsidRPr="002E35F4">
        <w:rPr>
          <w:rFonts w:ascii="Times New Roman" w:hAnsi="Times New Roman" w:cs="Times New Roman"/>
          <w:sz w:val="20"/>
        </w:rPr>
        <w:t xml:space="preserve">DMRS position </w:t>
      </w:r>
      <w:r w:rsidR="00AF6237" w:rsidRPr="002E35F4">
        <w:rPr>
          <w:rFonts w:ascii="Times New Roman" w:hAnsi="Times New Roman" w:cs="Times New Roman"/>
          <w:sz w:val="20"/>
        </w:rPr>
        <w:t xml:space="preserve">for PDSCH mapping type B of each </w:t>
      </w:r>
      <w:r w:rsidR="00E50947">
        <w:rPr>
          <w:rFonts w:ascii="Times New Roman" w:hAnsi="Times New Roman" w:cs="Times New Roman"/>
          <w:sz w:val="20"/>
        </w:rPr>
        <w:t xml:space="preserve">remaining </w:t>
      </w:r>
      <w:r w:rsidR="00AF6237" w:rsidRPr="002E35F4">
        <w:rPr>
          <w:rFonts w:ascii="Times New Roman" w:hAnsi="Times New Roman" w:cs="Times New Roman"/>
          <w:sz w:val="20"/>
        </w:rPr>
        <w:t xml:space="preserve">duration </w:t>
      </w:r>
      <w:r w:rsidRPr="002E35F4">
        <w:rPr>
          <w:rFonts w:ascii="Times New Roman" w:hAnsi="Times New Roman" w:cs="Times New Roman"/>
          <w:sz w:val="20"/>
        </w:rPr>
        <w:t>is specified based on the Rel-15 DMRS for PUSCH mapping type B</w:t>
      </w:r>
      <w:r w:rsidR="00FF54FA" w:rsidRPr="002E35F4">
        <w:rPr>
          <w:rFonts w:ascii="Times New Roman" w:hAnsi="Times New Roman" w:cs="Times New Roman"/>
          <w:sz w:val="20"/>
        </w:rPr>
        <w:t xml:space="preserve"> of the corresponding duration</w:t>
      </w:r>
      <w:r w:rsidRPr="002E35F4">
        <w:rPr>
          <w:rFonts w:ascii="Times New Roman" w:hAnsi="Times New Roman" w:cs="Times New Roman"/>
          <w:sz w:val="20"/>
        </w:rPr>
        <w:t>.</w:t>
      </w:r>
      <w:r w:rsidR="00FF54FA" w:rsidRPr="002E35F4">
        <w:rPr>
          <w:rFonts w:ascii="Times New Roman" w:hAnsi="Times New Roman" w:cs="Times New Roman"/>
          <w:sz w:val="20"/>
        </w:rPr>
        <w:t xml:space="preserve"> One reason is that Rel-15 DMRS is designed with the policy of DL-UL symmetricity </w:t>
      </w:r>
      <w:r w:rsidR="00AF6237" w:rsidRPr="002E35F4">
        <w:rPr>
          <w:rFonts w:ascii="Times New Roman" w:hAnsi="Times New Roman" w:cs="Times New Roman"/>
          <w:sz w:val="20"/>
        </w:rPr>
        <w:t xml:space="preserve">for DMRS, </w:t>
      </w:r>
      <w:r w:rsidR="00FF54FA" w:rsidRPr="002E35F4">
        <w:rPr>
          <w:rFonts w:ascii="Times New Roman" w:hAnsi="Times New Roman" w:cs="Times New Roman"/>
          <w:sz w:val="20"/>
        </w:rPr>
        <w:t xml:space="preserve">which should be followed by Rel-16. </w:t>
      </w:r>
      <w:r w:rsidR="00AB06E5" w:rsidRPr="002E35F4">
        <w:rPr>
          <w:rFonts w:ascii="Times New Roman" w:hAnsi="Times New Roman" w:cs="Times New Roman"/>
          <w:sz w:val="20"/>
        </w:rPr>
        <w:t>With our proposal, the</w:t>
      </w:r>
      <w:r w:rsidR="00AF6237" w:rsidRPr="002E35F4">
        <w:rPr>
          <w:rFonts w:ascii="Times New Roman" w:hAnsi="Times New Roman" w:cs="Times New Roman"/>
          <w:sz w:val="20"/>
        </w:rPr>
        <w:t xml:space="preserve"> symmetricity is realized when the mapping starting/duration is aligned between DL and UL. </w:t>
      </w:r>
      <w:r w:rsidR="00FF54FA" w:rsidRPr="002E35F4">
        <w:rPr>
          <w:rFonts w:ascii="Times New Roman" w:hAnsi="Times New Roman" w:cs="Times New Roman"/>
          <w:sz w:val="20"/>
        </w:rPr>
        <w:t xml:space="preserve">Another reason is </w:t>
      </w:r>
      <w:r w:rsidR="003755C3" w:rsidRPr="002E35F4">
        <w:rPr>
          <w:rFonts w:ascii="Times New Roman" w:hAnsi="Times New Roman" w:cs="Times New Roman"/>
          <w:sz w:val="20"/>
        </w:rPr>
        <w:t xml:space="preserve">that it costs small standardization effort to </w:t>
      </w:r>
      <w:r w:rsidR="00AF6237" w:rsidRPr="002E35F4">
        <w:rPr>
          <w:rFonts w:ascii="Times New Roman" w:hAnsi="Times New Roman" w:cs="Times New Roman"/>
          <w:sz w:val="20"/>
        </w:rPr>
        <w:t xml:space="preserve">just </w:t>
      </w:r>
      <w:r w:rsidR="003755C3" w:rsidRPr="002E35F4">
        <w:rPr>
          <w:rFonts w:ascii="Times New Roman" w:hAnsi="Times New Roman" w:cs="Times New Roman"/>
          <w:sz w:val="20"/>
        </w:rPr>
        <w:t xml:space="preserve">reuse the value of </w:t>
      </w:r>
      <w:r w:rsidR="00E567AC" w:rsidRPr="002E35F4">
        <w:rPr>
          <w:rFonts w:ascii="Times New Roman" w:hAnsi="Times New Roman" w:cs="Times New Roman"/>
          <w:sz w:val="20"/>
        </w:rPr>
        <w:t xml:space="preserve">Rel-15 </w:t>
      </w:r>
      <w:r w:rsidR="003755C3" w:rsidRPr="002E35F4">
        <w:rPr>
          <w:rFonts w:ascii="Times New Roman" w:hAnsi="Times New Roman" w:cs="Times New Roman"/>
          <w:sz w:val="20"/>
        </w:rPr>
        <w:t>PUSCH</w:t>
      </w:r>
      <w:r w:rsidR="00BC0698" w:rsidRPr="002E35F4">
        <w:rPr>
          <w:rFonts w:ascii="Times New Roman" w:hAnsi="Times New Roman" w:cs="Times New Roman"/>
          <w:sz w:val="20"/>
        </w:rPr>
        <w:t xml:space="preserve"> compared with new design </w:t>
      </w:r>
      <w:r w:rsidR="003755C3" w:rsidRPr="002E35F4">
        <w:rPr>
          <w:rFonts w:ascii="Times New Roman" w:hAnsi="Times New Roman" w:cs="Times New Roman"/>
          <w:sz w:val="20"/>
        </w:rPr>
        <w:t xml:space="preserve">for </w:t>
      </w:r>
      <w:r w:rsidR="00E567AC" w:rsidRPr="002E35F4">
        <w:rPr>
          <w:rFonts w:ascii="Times New Roman" w:hAnsi="Times New Roman" w:cs="Times New Roman"/>
          <w:sz w:val="20"/>
        </w:rPr>
        <w:t xml:space="preserve">Rel-16 </w:t>
      </w:r>
      <w:r w:rsidR="00C62CBC" w:rsidRPr="002E35F4">
        <w:rPr>
          <w:rFonts w:ascii="Times New Roman" w:hAnsi="Times New Roman" w:cs="Times New Roman"/>
          <w:sz w:val="20"/>
        </w:rPr>
        <w:t xml:space="preserve">NR-U </w:t>
      </w:r>
      <w:r w:rsidR="003755C3" w:rsidRPr="002E35F4">
        <w:rPr>
          <w:rFonts w:ascii="Times New Roman" w:hAnsi="Times New Roman" w:cs="Times New Roman"/>
          <w:sz w:val="20"/>
        </w:rPr>
        <w:t>PDSCH.</w:t>
      </w:r>
    </w:p>
    <w:p w14:paraId="40F95240" w14:textId="77777777" w:rsidR="00EA19A7" w:rsidRPr="002E35F4" w:rsidRDefault="00EA19A7" w:rsidP="00045A5C">
      <w:pPr>
        <w:pStyle w:val="BodyText"/>
        <w:spacing w:after="180"/>
        <w:rPr>
          <w:rFonts w:ascii="Times New Roman" w:hAnsi="Times New Roman" w:cs="Times New Roman"/>
          <w:sz w:val="20"/>
        </w:rPr>
      </w:pPr>
    </w:p>
    <w:p w14:paraId="32F311DD" w14:textId="0BF7AA95" w:rsidR="003755C3" w:rsidRPr="002E35F4" w:rsidRDefault="00251821" w:rsidP="00D54B63">
      <w:pPr>
        <w:pStyle w:val="BodyText"/>
        <w:spacing w:after="180"/>
        <w:rPr>
          <w:rFonts w:ascii="Times New Roman" w:hAnsi="Times New Roman" w:cs="Times New Roman"/>
          <w:sz w:val="20"/>
        </w:rPr>
      </w:pPr>
      <w:r w:rsidRPr="002E35F4">
        <w:rPr>
          <w:rFonts w:ascii="Times New Roman" w:hAnsi="Times New Roman" w:cs="Times New Roman"/>
          <w:sz w:val="20"/>
        </w:rPr>
        <w:t>According to our proposal, the Rel-16 PDSCH DMRS position can be specified in TS38.211 as follows</w:t>
      </w:r>
      <w:r w:rsidR="00E16424">
        <w:rPr>
          <w:rFonts w:ascii="Times New Roman" w:hAnsi="Times New Roman" w:cs="Times New Roman"/>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1821" w:rsidRPr="00251821" w14:paraId="045DB5D9" w14:textId="77777777" w:rsidTr="00251821">
        <w:tc>
          <w:tcPr>
            <w:tcW w:w="9629" w:type="dxa"/>
            <w:shd w:val="clear" w:color="auto" w:fill="auto"/>
          </w:tcPr>
          <w:p w14:paraId="74438357" w14:textId="77777777" w:rsidR="00251821" w:rsidRPr="002E35F4" w:rsidRDefault="00251821" w:rsidP="00251821">
            <w:pPr>
              <w:rPr>
                <w:rFonts w:ascii="Times New Roman" w:hAnsi="Times New Roman" w:cs="Times New Roman"/>
                <w:sz w:val="20"/>
              </w:rPr>
            </w:pPr>
            <w:r w:rsidRPr="002E35F4">
              <w:rPr>
                <w:rFonts w:ascii="Times New Roman" w:hAnsi="Times New Roman" w:cs="Times New Roman"/>
                <w:sz w:val="20"/>
              </w:rPr>
              <w:t xml:space="preserve">The reference point for </w:t>
            </w:r>
            <w:r w:rsidRPr="002E35F4">
              <w:rPr>
                <w:rFonts w:ascii="Times New Roman" w:eastAsia="Yu Mincho" w:hAnsi="Times New Roman" w:cs="Times New Roman"/>
                <w:position w:val="-6"/>
                <w:sz w:val="20"/>
              </w:rPr>
              <w:object w:dxaOrig="135" w:dyaOrig="255" w14:anchorId="50926F67">
                <v:shape id="_x0000_i1028" type="#_x0000_t75" style="width:7.3pt;height:12.45pt" o:ole="">
                  <v:imagedata r:id="rId18" o:title=""/>
                </v:shape>
                <o:OLEObject Type="Embed" ProgID="Equation.3" ShapeID="_x0000_i1028" DrawAspect="Content" ObjectID="_1634728536" r:id="rId19"/>
              </w:object>
            </w:r>
            <w:r w:rsidRPr="002E35F4">
              <w:rPr>
                <w:rFonts w:ascii="Times New Roman" w:hAnsi="Times New Roman" w:cs="Times New Roman"/>
                <w:sz w:val="20"/>
              </w:rPr>
              <w:t xml:space="preserve"> and the position </w:t>
            </w:r>
            <w:r w:rsidRPr="002E35F4">
              <w:rPr>
                <w:rFonts w:ascii="Times New Roman" w:eastAsia="Yu Mincho" w:hAnsi="Times New Roman" w:cs="Times New Roman"/>
                <w:position w:val="-10"/>
                <w:sz w:val="20"/>
              </w:rPr>
              <w:object w:dxaOrig="195" w:dyaOrig="300" w14:anchorId="1CC8B3C9">
                <v:shape id="_x0000_i1029" type="#_x0000_t75" style="width:11.15pt;height:16.3pt" o:ole="">
                  <v:imagedata r:id="rId20" o:title=""/>
                </v:shape>
                <o:OLEObject Type="Embed" ProgID="Equation.3" ShapeID="_x0000_i1029" DrawAspect="Content" ObjectID="_1634728537" r:id="rId21"/>
              </w:object>
            </w:r>
            <w:r w:rsidRPr="002E35F4">
              <w:rPr>
                <w:rFonts w:ascii="Times New Roman" w:hAnsi="Times New Roman" w:cs="Times New Roman"/>
                <w:sz w:val="20"/>
              </w:rPr>
              <w:t xml:space="preserve"> of the first DM-RS symbol depends on the mapping type:</w:t>
            </w:r>
          </w:p>
          <w:p w14:paraId="5D128EAC" w14:textId="77777777" w:rsidR="00251821" w:rsidRPr="002E35F4" w:rsidRDefault="00251821" w:rsidP="00251821">
            <w:pPr>
              <w:ind w:left="568"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t xml:space="preserve">for PDSCH mapping type B: </w:t>
            </w:r>
          </w:p>
          <w:p w14:paraId="2BF8563F" w14:textId="77777777" w:rsidR="00251821" w:rsidRPr="002E35F4" w:rsidRDefault="00251821" w:rsidP="00251821">
            <w:pPr>
              <w:ind w:left="851"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r>
            <w:r w:rsidRPr="002E35F4">
              <w:rPr>
                <w:rFonts w:ascii="Times New Roman" w:eastAsia="Yu Mincho" w:hAnsi="Times New Roman" w:cs="Times New Roman"/>
                <w:position w:val="-6"/>
                <w:sz w:val="20"/>
              </w:rPr>
              <w:object w:dxaOrig="135" w:dyaOrig="255" w14:anchorId="5AA5F90A">
                <v:shape id="_x0000_i1030" type="#_x0000_t75" style="width:7.3pt;height:12.45pt" o:ole="">
                  <v:imagedata r:id="rId18" o:title=""/>
                </v:shape>
                <o:OLEObject Type="Embed" ProgID="Equation.3" ShapeID="_x0000_i1030" DrawAspect="Content" ObjectID="_1634728538" r:id="rId22"/>
              </w:object>
            </w:r>
            <w:r w:rsidRPr="002E35F4">
              <w:rPr>
                <w:rFonts w:ascii="Times New Roman" w:hAnsi="Times New Roman" w:cs="Times New Roman"/>
                <w:sz w:val="20"/>
              </w:rPr>
              <w:t xml:space="preserve"> is defined relative to the start of the scheduled PDSCH resources</w:t>
            </w:r>
          </w:p>
          <w:p w14:paraId="711168BB" w14:textId="77777777" w:rsidR="00251821" w:rsidRPr="002E35F4" w:rsidRDefault="00251821" w:rsidP="00251821">
            <w:pPr>
              <w:ind w:left="851"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r>
            <w:r w:rsidRPr="002E35F4">
              <w:rPr>
                <w:rFonts w:ascii="Times New Roman" w:eastAsia="Yu Mincho" w:hAnsi="Times New Roman" w:cs="Times New Roman"/>
                <w:position w:val="-10"/>
                <w:sz w:val="20"/>
              </w:rPr>
              <w:object w:dxaOrig="525" w:dyaOrig="300" w14:anchorId="2C4FD85D">
                <v:shape id="_x0000_i1031" type="#_x0000_t75" style="width:26.15pt;height:16.3pt" o:ole="">
                  <v:imagedata r:id="rId23" o:title=""/>
                </v:shape>
                <o:OLEObject Type="Embed" ProgID="Equation.3" ShapeID="_x0000_i1031" DrawAspect="Content" ObjectID="_1634728539" r:id="rId24"/>
              </w:object>
            </w:r>
            <w:r w:rsidRPr="002E35F4">
              <w:rPr>
                <w:rFonts w:ascii="Times New Roman" w:hAnsi="Times New Roman" w:cs="Times New Roman"/>
                <w:sz w:val="20"/>
              </w:rPr>
              <w:t xml:space="preserve"> </w:t>
            </w:r>
          </w:p>
          <w:p w14:paraId="43EBB077" w14:textId="77777777" w:rsidR="00251821" w:rsidRPr="002E35F4" w:rsidRDefault="00251821" w:rsidP="00251821">
            <w:pPr>
              <w:rPr>
                <w:rFonts w:ascii="Times New Roman" w:eastAsia="Yu Mincho" w:hAnsi="Times New Roman" w:cs="Times New Roman"/>
                <w:sz w:val="20"/>
              </w:rPr>
            </w:pPr>
          </w:p>
          <w:p w14:paraId="43DD99AD" w14:textId="77777777" w:rsidR="00251821" w:rsidRPr="00251821" w:rsidRDefault="00251821" w:rsidP="00251821">
            <w:pPr>
              <w:keepNext/>
              <w:keepLines/>
              <w:spacing w:before="60"/>
              <w:jc w:val="center"/>
              <w:rPr>
                <w:rFonts w:ascii="Arial" w:hAnsi="Arial"/>
                <w:b/>
              </w:rPr>
            </w:pPr>
            <w:r w:rsidRPr="00251821">
              <w:rPr>
                <w:rFonts w:ascii="Arial" w:hAnsi="Arial"/>
                <w:b/>
              </w:rPr>
              <w:t xml:space="preserve">Table 7.4.1.1.2-3 PDSCH DM-RS positions </w:t>
            </w:r>
            <w:r w:rsidRPr="00251821">
              <w:rPr>
                <w:rFonts w:ascii="Arial" w:eastAsia="Yu Mincho" w:hAnsi="Arial"/>
                <w:b/>
                <w:position w:val="-6"/>
              </w:rPr>
              <w:object w:dxaOrig="165" w:dyaOrig="300" w14:anchorId="0E2C3890">
                <v:shape id="_x0000_i1032" type="#_x0000_t75" style="width:7.3pt;height:16.3pt" o:ole="">
                  <v:imagedata r:id="rId14" o:title=""/>
                </v:shape>
                <o:OLEObject Type="Embed" ProgID="Equation.3" ShapeID="_x0000_i1032" DrawAspect="Content" ObjectID="_1634728540" r:id="rId25"/>
              </w:object>
            </w:r>
            <w:r w:rsidRPr="00251821">
              <w:rPr>
                <w:rFonts w:ascii="Arial" w:hAnsi="Arial"/>
                <w:b/>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456"/>
              <w:gridCol w:w="709"/>
              <w:gridCol w:w="850"/>
              <w:gridCol w:w="1146"/>
            </w:tblGrid>
            <w:tr w:rsidR="00251821" w:rsidRPr="00251821" w14:paraId="5426D85A" w14:textId="77777777" w:rsidTr="003C7AF0">
              <w:trPr>
                <w:jc w:val="center"/>
              </w:trPr>
              <w:tc>
                <w:tcPr>
                  <w:tcW w:w="1967" w:type="dxa"/>
                  <w:vMerge w:val="restart"/>
                  <w:tcBorders>
                    <w:top w:val="single" w:sz="4" w:space="0" w:color="auto"/>
                    <w:left w:val="single" w:sz="4" w:space="0" w:color="auto"/>
                    <w:bottom w:val="single" w:sz="4" w:space="0" w:color="auto"/>
                    <w:right w:val="single" w:sz="4" w:space="0" w:color="auto"/>
                  </w:tcBorders>
                  <w:hideMark/>
                </w:tcPr>
                <w:p w14:paraId="275D5086" w14:textId="77777777" w:rsidR="00251821" w:rsidRPr="00251821" w:rsidRDefault="00974899" w:rsidP="00DB2658">
                  <w:pPr>
                    <w:keepNext/>
                    <w:keepLines/>
                    <w:jc w:val="center"/>
                    <w:rPr>
                      <w:rFonts w:ascii="Arial" w:hAnsi="Arial"/>
                      <w:b/>
                      <w:sz w:val="18"/>
                    </w:rPr>
                  </w:pPr>
                  <m:oMath>
                    <m:sSub>
                      <m:sSubPr>
                        <m:ctrlPr>
                          <w:rPr>
                            <w:rFonts w:ascii="Cambria Math" w:eastAsia="Yu Mincho" w:hAnsi="Cambria Math"/>
                            <w:i/>
                          </w:rPr>
                        </m:ctrlPr>
                      </m:sSubPr>
                      <m:e>
                        <m:r>
                          <w:rPr>
                            <w:rFonts w:ascii="Cambria Math" w:hAnsi="Cambria Math"/>
                          </w:rPr>
                          <m:t>l</m:t>
                        </m:r>
                      </m:e>
                      <m:sub>
                        <m:r>
                          <m:rPr>
                            <m:nor/>
                          </m:rPr>
                          <w:rPr>
                            <w:rFonts w:ascii="Cambria Math" w:hAnsi="Cambria Math"/>
                          </w:rPr>
                          <m:t>d</m:t>
                        </m:r>
                      </m:sub>
                    </m:sSub>
                  </m:oMath>
                  <w:r w:rsidR="00251821" w:rsidRPr="00251821">
                    <w:rPr>
                      <w:rFonts w:ascii="Arial" w:hAnsi="Arial"/>
                      <w:b/>
                      <w:sz w:val="18"/>
                    </w:rPr>
                    <w:t xml:space="preserve"> in symbols</w:t>
                  </w:r>
                </w:p>
              </w:tc>
              <w:tc>
                <w:tcPr>
                  <w:tcW w:w="6875" w:type="dxa"/>
                  <w:gridSpan w:val="8"/>
                  <w:tcBorders>
                    <w:top w:val="single" w:sz="4" w:space="0" w:color="auto"/>
                    <w:left w:val="single" w:sz="4" w:space="0" w:color="auto"/>
                    <w:bottom w:val="nil"/>
                    <w:right w:val="single" w:sz="4" w:space="0" w:color="auto"/>
                  </w:tcBorders>
                  <w:vAlign w:val="bottom"/>
                  <w:hideMark/>
                </w:tcPr>
                <w:p w14:paraId="41E6F3E1" w14:textId="77777777" w:rsidR="00251821" w:rsidRPr="00251821" w:rsidRDefault="00251821" w:rsidP="00DB2658">
                  <w:pPr>
                    <w:keepNext/>
                    <w:keepLines/>
                    <w:jc w:val="center"/>
                    <w:rPr>
                      <w:rFonts w:ascii="Arial" w:hAnsi="Arial"/>
                      <w:b/>
                      <w:sz w:val="18"/>
                    </w:rPr>
                  </w:pPr>
                  <w:r w:rsidRPr="00251821">
                    <w:rPr>
                      <w:rFonts w:ascii="Arial" w:hAnsi="Arial"/>
                      <w:b/>
                      <w:sz w:val="18"/>
                    </w:rPr>
                    <w:t xml:space="preserve">DM-RS positions </w:t>
                  </w:r>
                  <w:r w:rsidRPr="00251821">
                    <w:rPr>
                      <w:rFonts w:ascii="Arial" w:hAnsi="Arial"/>
                      <w:b/>
                      <w:position w:val="-6"/>
                      <w:sz w:val="18"/>
                    </w:rPr>
                    <w:object w:dxaOrig="165" w:dyaOrig="300" w14:anchorId="51829872">
                      <v:shape id="_x0000_i1033" type="#_x0000_t75" style="width:7.3pt;height:16.3pt" o:ole="">
                        <v:imagedata r:id="rId14" o:title=""/>
                      </v:shape>
                      <o:OLEObject Type="Embed" ProgID="Equation.3" ShapeID="_x0000_i1033" DrawAspect="Content" ObjectID="_1634728541" r:id="rId26"/>
                    </w:object>
                  </w:r>
                </w:p>
              </w:tc>
            </w:tr>
            <w:tr w:rsidR="00251821" w:rsidRPr="00251821" w14:paraId="1DD1E52A"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D7D3" w14:textId="77777777" w:rsidR="00251821" w:rsidRPr="00251821" w:rsidRDefault="00251821" w:rsidP="00CB197E">
                  <w:pPr>
                    <w:rPr>
                      <w:rFonts w:ascii="Arial" w:hAnsi="Arial"/>
                      <w:b/>
                      <w:sz w:val="18"/>
                    </w:rPr>
                  </w:pPr>
                </w:p>
              </w:tc>
              <w:tc>
                <w:tcPr>
                  <w:tcW w:w="3714" w:type="dxa"/>
                  <w:gridSpan w:val="4"/>
                  <w:tcBorders>
                    <w:top w:val="nil"/>
                    <w:left w:val="single" w:sz="4" w:space="0" w:color="auto"/>
                    <w:bottom w:val="single" w:sz="4" w:space="0" w:color="auto"/>
                    <w:right w:val="single" w:sz="4" w:space="0" w:color="auto"/>
                  </w:tcBorders>
                  <w:vAlign w:val="bottom"/>
                  <w:hideMark/>
                </w:tcPr>
                <w:p w14:paraId="45D29F68"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A</w:t>
                  </w:r>
                </w:p>
              </w:tc>
              <w:tc>
                <w:tcPr>
                  <w:tcW w:w="3161" w:type="dxa"/>
                  <w:gridSpan w:val="4"/>
                  <w:tcBorders>
                    <w:top w:val="nil"/>
                    <w:left w:val="single" w:sz="4" w:space="0" w:color="auto"/>
                    <w:bottom w:val="single" w:sz="4" w:space="0" w:color="auto"/>
                    <w:right w:val="single" w:sz="4" w:space="0" w:color="auto"/>
                  </w:tcBorders>
                  <w:vAlign w:val="bottom"/>
                  <w:hideMark/>
                </w:tcPr>
                <w:p w14:paraId="3C3A2608"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B</w:t>
                  </w:r>
                </w:p>
              </w:tc>
            </w:tr>
            <w:tr w:rsidR="00251821" w:rsidRPr="00251821" w14:paraId="205FAE00"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13116" w14:textId="77777777" w:rsidR="00251821" w:rsidRPr="00251821" w:rsidRDefault="00251821" w:rsidP="00CB197E">
                  <w:pPr>
                    <w:rPr>
                      <w:rFonts w:ascii="Arial" w:hAnsi="Arial"/>
                      <w:b/>
                      <w:sz w:val="18"/>
                    </w:rPr>
                  </w:pPr>
                </w:p>
              </w:tc>
              <w:tc>
                <w:tcPr>
                  <w:tcW w:w="3714" w:type="dxa"/>
                  <w:gridSpan w:val="4"/>
                  <w:tcBorders>
                    <w:top w:val="single" w:sz="4" w:space="0" w:color="auto"/>
                    <w:left w:val="single" w:sz="4" w:space="0" w:color="auto"/>
                    <w:bottom w:val="nil"/>
                    <w:right w:val="single" w:sz="4" w:space="0" w:color="auto"/>
                  </w:tcBorders>
                  <w:vAlign w:val="bottom"/>
                  <w:hideMark/>
                </w:tcPr>
                <w:p w14:paraId="7DD4CEA3" w14:textId="77777777" w:rsidR="00251821" w:rsidRPr="00251821" w:rsidRDefault="00251821" w:rsidP="00CB197E">
                  <w:pPr>
                    <w:keepNext/>
                    <w:keepLines/>
                    <w:jc w:val="center"/>
                    <w:rPr>
                      <w:rFonts w:ascii="Arial" w:hAnsi="Arial"/>
                      <w:b/>
                      <w:i/>
                      <w:sz w:val="18"/>
                    </w:rPr>
                  </w:pPr>
                  <w:r w:rsidRPr="00251821">
                    <w:rPr>
                      <w:rFonts w:ascii="Arial" w:hAnsi="Arial"/>
                      <w:b/>
                      <w:i/>
                      <w:sz w:val="18"/>
                    </w:rPr>
                    <w:t>dmrs-AdditionalPosition</w:t>
                  </w:r>
                </w:p>
              </w:tc>
              <w:tc>
                <w:tcPr>
                  <w:tcW w:w="3161" w:type="dxa"/>
                  <w:gridSpan w:val="4"/>
                  <w:tcBorders>
                    <w:top w:val="single" w:sz="4" w:space="0" w:color="auto"/>
                    <w:left w:val="single" w:sz="4" w:space="0" w:color="auto"/>
                    <w:bottom w:val="nil"/>
                    <w:right w:val="single" w:sz="4" w:space="0" w:color="auto"/>
                  </w:tcBorders>
                  <w:vAlign w:val="bottom"/>
                  <w:hideMark/>
                </w:tcPr>
                <w:p w14:paraId="68084583" w14:textId="77777777" w:rsidR="00251821" w:rsidRPr="00251821" w:rsidRDefault="00251821" w:rsidP="00CB197E">
                  <w:pPr>
                    <w:keepNext/>
                    <w:keepLines/>
                    <w:jc w:val="center"/>
                    <w:rPr>
                      <w:rFonts w:ascii="Arial" w:hAnsi="Arial"/>
                      <w:b/>
                      <w:i/>
                      <w:sz w:val="18"/>
                    </w:rPr>
                  </w:pPr>
                  <w:r w:rsidRPr="00251821">
                    <w:rPr>
                      <w:rFonts w:ascii="Arial" w:hAnsi="Arial"/>
                      <w:b/>
                      <w:i/>
                      <w:sz w:val="18"/>
                    </w:rPr>
                    <w:t>dmrs-AdditionalPosition</w:t>
                  </w:r>
                </w:p>
              </w:tc>
            </w:tr>
            <w:tr w:rsidR="00251821" w:rsidRPr="00251821" w14:paraId="734C10B4"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2EFB3" w14:textId="77777777" w:rsidR="00251821" w:rsidRPr="00251821" w:rsidRDefault="00251821" w:rsidP="00CB197E">
                  <w:pPr>
                    <w:rPr>
                      <w:rFonts w:ascii="Arial" w:hAnsi="Arial"/>
                      <w:b/>
                      <w:sz w:val="18"/>
                    </w:rPr>
                  </w:pPr>
                </w:p>
              </w:tc>
              <w:tc>
                <w:tcPr>
                  <w:tcW w:w="851" w:type="dxa"/>
                  <w:tcBorders>
                    <w:top w:val="nil"/>
                    <w:left w:val="single" w:sz="4" w:space="0" w:color="auto"/>
                    <w:bottom w:val="single" w:sz="4" w:space="0" w:color="auto"/>
                    <w:right w:val="single" w:sz="4" w:space="0" w:color="auto"/>
                  </w:tcBorders>
                  <w:hideMark/>
                </w:tcPr>
                <w:p w14:paraId="32D25442" w14:textId="77777777" w:rsidR="00251821" w:rsidRPr="00251821" w:rsidRDefault="00251821" w:rsidP="00CB197E">
                  <w:pPr>
                    <w:keepNext/>
                    <w:keepLines/>
                    <w:jc w:val="center"/>
                    <w:rPr>
                      <w:rFonts w:ascii="Arial" w:hAnsi="Arial"/>
                      <w:b/>
                      <w:i/>
                      <w:sz w:val="18"/>
                    </w:rPr>
                  </w:pPr>
                  <w:r w:rsidRPr="00251821">
                    <w:rPr>
                      <w:rFonts w:ascii="Arial" w:hAnsi="Arial"/>
                      <w:b/>
                      <w:i/>
                      <w:sz w:val="18"/>
                    </w:rPr>
                    <w:t>0</w:t>
                  </w:r>
                </w:p>
              </w:tc>
              <w:tc>
                <w:tcPr>
                  <w:tcW w:w="851" w:type="dxa"/>
                  <w:tcBorders>
                    <w:top w:val="nil"/>
                    <w:left w:val="single" w:sz="4" w:space="0" w:color="auto"/>
                    <w:bottom w:val="single" w:sz="4" w:space="0" w:color="auto"/>
                    <w:right w:val="single" w:sz="4" w:space="0" w:color="auto"/>
                  </w:tcBorders>
                  <w:hideMark/>
                </w:tcPr>
                <w:p w14:paraId="49F74496" w14:textId="77777777" w:rsidR="00251821" w:rsidRPr="00251821" w:rsidRDefault="00251821" w:rsidP="00CB197E">
                  <w:pPr>
                    <w:keepNext/>
                    <w:keepLines/>
                    <w:jc w:val="center"/>
                    <w:rPr>
                      <w:rFonts w:ascii="Arial" w:hAnsi="Arial"/>
                      <w:b/>
                      <w:i/>
                      <w:sz w:val="18"/>
                    </w:rPr>
                  </w:pPr>
                  <w:r w:rsidRPr="00251821">
                    <w:rPr>
                      <w:rFonts w:ascii="Arial" w:hAnsi="Arial"/>
                      <w:b/>
                      <w:i/>
                      <w:sz w:val="18"/>
                    </w:rPr>
                    <w:t>1</w:t>
                  </w:r>
                </w:p>
              </w:tc>
              <w:tc>
                <w:tcPr>
                  <w:tcW w:w="851" w:type="dxa"/>
                  <w:tcBorders>
                    <w:top w:val="nil"/>
                    <w:left w:val="single" w:sz="4" w:space="0" w:color="auto"/>
                    <w:bottom w:val="single" w:sz="4" w:space="0" w:color="auto"/>
                    <w:right w:val="single" w:sz="4" w:space="0" w:color="auto"/>
                  </w:tcBorders>
                  <w:hideMark/>
                </w:tcPr>
                <w:p w14:paraId="2E0F1BD0" w14:textId="77777777" w:rsidR="00251821" w:rsidRPr="00251821" w:rsidRDefault="00251821" w:rsidP="00CB197E">
                  <w:pPr>
                    <w:keepNext/>
                    <w:keepLines/>
                    <w:jc w:val="center"/>
                    <w:rPr>
                      <w:rFonts w:ascii="Arial" w:hAnsi="Arial"/>
                      <w:b/>
                      <w:i/>
                      <w:sz w:val="18"/>
                    </w:rPr>
                  </w:pPr>
                  <w:r w:rsidRPr="00251821">
                    <w:rPr>
                      <w:rFonts w:ascii="Arial" w:hAnsi="Arial"/>
                      <w:b/>
                      <w:i/>
                      <w:sz w:val="18"/>
                    </w:rPr>
                    <w:t>2</w:t>
                  </w:r>
                </w:p>
              </w:tc>
              <w:tc>
                <w:tcPr>
                  <w:tcW w:w="1161" w:type="dxa"/>
                  <w:tcBorders>
                    <w:top w:val="nil"/>
                    <w:left w:val="single" w:sz="4" w:space="0" w:color="auto"/>
                    <w:bottom w:val="single" w:sz="4" w:space="0" w:color="auto"/>
                    <w:right w:val="single" w:sz="4" w:space="0" w:color="auto"/>
                  </w:tcBorders>
                  <w:hideMark/>
                </w:tcPr>
                <w:p w14:paraId="14AAD4EE" w14:textId="77777777" w:rsidR="00251821" w:rsidRPr="00251821" w:rsidRDefault="00251821" w:rsidP="00CB197E">
                  <w:pPr>
                    <w:keepNext/>
                    <w:keepLines/>
                    <w:jc w:val="center"/>
                    <w:rPr>
                      <w:rFonts w:ascii="Arial" w:hAnsi="Arial"/>
                      <w:b/>
                      <w:i/>
                      <w:sz w:val="18"/>
                    </w:rPr>
                  </w:pPr>
                  <w:r w:rsidRPr="00251821">
                    <w:rPr>
                      <w:rFonts w:ascii="Arial" w:hAnsi="Arial"/>
                      <w:b/>
                      <w:i/>
                      <w:sz w:val="18"/>
                    </w:rPr>
                    <w:t>3</w:t>
                  </w:r>
                </w:p>
              </w:tc>
              <w:tc>
                <w:tcPr>
                  <w:tcW w:w="456" w:type="dxa"/>
                  <w:tcBorders>
                    <w:top w:val="nil"/>
                    <w:left w:val="single" w:sz="4" w:space="0" w:color="auto"/>
                    <w:bottom w:val="single" w:sz="4" w:space="0" w:color="auto"/>
                    <w:right w:val="single" w:sz="4" w:space="0" w:color="auto"/>
                  </w:tcBorders>
                  <w:hideMark/>
                </w:tcPr>
                <w:p w14:paraId="78B7642E" w14:textId="77777777" w:rsidR="00251821" w:rsidRPr="00251821" w:rsidRDefault="00251821" w:rsidP="00CB197E">
                  <w:pPr>
                    <w:keepNext/>
                    <w:keepLines/>
                    <w:jc w:val="center"/>
                    <w:rPr>
                      <w:rFonts w:ascii="Arial" w:hAnsi="Arial"/>
                      <w:b/>
                      <w:i/>
                      <w:sz w:val="18"/>
                    </w:rPr>
                  </w:pPr>
                  <w:r w:rsidRPr="00251821">
                    <w:rPr>
                      <w:rFonts w:ascii="Arial" w:hAnsi="Arial"/>
                      <w:b/>
                      <w:i/>
                      <w:sz w:val="18"/>
                    </w:rPr>
                    <w:t>0</w:t>
                  </w:r>
                </w:p>
              </w:tc>
              <w:tc>
                <w:tcPr>
                  <w:tcW w:w="709" w:type="dxa"/>
                  <w:tcBorders>
                    <w:top w:val="nil"/>
                    <w:left w:val="single" w:sz="4" w:space="0" w:color="auto"/>
                    <w:bottom w:val="single" w:sz="4" w:space="0" w:color="auto"/>
                    <w:right w:val="single" w:sz="4" w:space="0" w:color="auto"/>
                  </w:tcBorders>
                  <w:hideMark/>
                </w:tcPr>
                <w:p w14:paraId="2E8B41FB" w14:textId="77777777" w:rsidR="00251821" w:rsidRPr="00251821" w:rsidRDefault="00251821" w:rsidP="00CB197E">
                  <w:pPr>
                    <w:keepNext/>
                    <w:keepLines/>
                    <w:jc w:val="center"/>
                    <w:rPr>
                      <w:rFonts w:ascii="Arial" w:hAnsi="Arial"/>
                      <w:b/>
                      <w:i/>
                      <w:sz w:val="18"/>
                    </w:rPr>
                  </w:pPr>
                  <w:r w:rsidRPr="00251821">
                    <w:rPr>
                      <w:rFonts w:ascii="Arial" w:hAnsi="Arial"/>
                      <w:b/>
                      <w:i/>
                      <w:sz w:val="18"/>
                    </w:rPr>
                    <w:t>1</w:t>
                  </w:r>
                </w:p>
              </w:tc>
              <w:tc>
                <w:tcPr>
                  <w:tcW w:w="850" w:type="dxa"/>
                  <w:tcBorders>
                    <w:top w:val="nil"/>
                    <w:left w:val="single" w:sz="4" w:space="0" w:color="auto"/>
                    <w:bottom w:val="single" w:sz="4" w:space="0" w:color="auto"/>
                    <w:right w:val="single" w:sz="4" w:space="0" w:color="auto"/>
                  </w:tcBorders>
                  <w:hideMark/>
                </w:tcPr>
                <w:p w14:paraId="2F6F0B08" w14:textId="77777777" w:rsidR="00251821" w:rsidRPr="00251821" w:rsidRDefault="00251821" w:rsidP="00CB197E">
                  <w:pPr>
                    <w:keepNext/>
                    <w:keepLines/>
                    <w:jc w:val="center"/>
                    <w:rPr>
                      <w:rFonts w:ascii="Arial" w:hAnsi="Arial"/>
                      <w:b/>
                      <w:i/>
                      <w:sz w:val="18"/>
                    </w:rPr>
                  </w:pPr>
                  <w:r w:rsidRPr="00251821">
                    <w:rPr>
                      <w:rFonts w:ascii="Arial" w:hAnsi="Arial"/>
                      <w:b/>
                      <w:i/>
                      <w:sz w:val="18"/>
                    </w:rPr>
                    <w:t>2</w:t>
                  </w:r>
                </w:p>
              </w:tc>
              <w:tc>
                <w:tcPr>
                  <w:tcW w:w="1146" w:type="dxa"/>
                  <w:tcBorders>
                    <w:top w:val="nil"/>
                    <w:left w:val="single" w:sz="4" w:space="0" w:color="auto"/>
                    <w:bottom w:val="single" w:sz="4" w:space="0" w:color="auto"/>
                    <w:right w:val="single" w:sz="4" w:space="0" w:color="auto"/>
                  </w:tcBorders>
                  <w:hideMark/>
                </w:tcPr>
                <w:p w14:paraId="52070B5F" w14:textId="77777777" w:rsidR="00251821" w:rsidRPr="00251821" w:rsidRDefault="00251821" w:rsidP="00CB197E">
                  <w:pPr>
                    <w:keepNext/>
                    <w:keepLines/>
                    <w:jc w:val="center"/>
                    <w:rPr>
                      <w:rFonts w:ascii="Arial" w:hAnsi="Arial"/>
                      <w:b/>
                      <w:i/>
                      <w:sz w:val="18"/>
                    </w:rPr>
                  </w:pPr>
                  <w:r w:rsidRPr="00251821">
                    <w:rPr>
                      <w:rFonts w:ascii="Arial" w:hAnsi="Arial"/>
                      <w:b/>
                      <w:i/>
                      <w:sz w:val="18"/>
                    </w:rPr>
                    <w:t>3</w:t>
                  </w:r>
                </w:p>
              </w:tc>
            </w:tr>
            <w:tr w:rsidR="00251821" w:rsidRPr="00251821" w14:paraId="641CEC5E"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829B763"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36D1D52" w14:textId="77777777" w:rsidR="00251821" w:rsidRPr="00251821" w:rsidRDefault="00251821" w:rsidP="00DB2658">
                  <w:pPr>
                    <w:keepNext/>
                    <w:keepLines/>
                    <w:jc w:val="center"/>
                    <w:rPr>
                      <w:rFonts w:ascii="Arial" w:eastAsia="Yu Mincho"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C0A89CA"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B54CA4D"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1161" w:type="dxa"/>
                  <w:tcBorders>
                    <w:top w:val="single" w:sz="4" w:space="0" w:color="auto"/>
                    <w:left w:val="single" w:sz="4" w:space="0" w:color="auto"/>
                    <w:bottom w:val="single" w:sz="4" w:space="0" w:color="auto"/>
                    <w:right w:val="single" w:sz="4" w:space="0" w:color="auto"/>
                  </w:tcBorders>
                  <w:hideMark/>
                </w:tcPr>
                <w:p w14:paraId="4EE19D20"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456" w:type="dxa"/>
                  <w:tcBorders>
                    <w:top w:val="single" w:sz="4" w:space="0" w:color="auto"/>
                    <w:left w:val="single" w:sz="4" w:space="0" w:color="auto"/>
                    <w:bottom w:val="single" w:sz="4" w:space="0" w:color="auto"/>
                    <w:right w:val="single" w:sz="4" w:space="0" w:color="auto"/>
                  </w:tcBorders>
                  <w:hideMark/>
                </w:tcPr>
                <w:p w14:paraId="4055B475"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1A1F26BB">
                      <v:shape id="_x0000_i1034" type="#_x0000_t75" style="width:11.15pt;height:16.3pt" o:ole="">
                        <v:imagedata r:id="rId20" o:title=""/>
                      </v:shape>
                      <o:OLEObject Type="Embed" ProgID="Equation.3" ShapeID="_x0000_i1034" DrawAspect="Content" ObjectID="_1634728542" r:id="rId27"/>
                    </w:object>
                  </w:r>
                </w:p>
              </w:tc>
              <w:tc>
                <w:tcPr>
                  <w:tcW w:w="709" w:type="dxa"/>
                  <w:tcBorders>
                    <w:top w:val="single" w:sz="4" w:space="0" w:color="auto"/>
                    <w:left w:val="single" w:sz="4" w:space="0" w:color="auto"/>
                    <w:bottom w:val="single" w:sz="4" w:space="0" w:color="auto"/>
                    <w:right w:val="single" w:sz="4" w:space="0" w:color="auto"/>
                  </w:tcBorders>
                  <w:hideMark/>
                </w:tcPr>
                <w:p w14:paraId="32F8D28F" w14:textId="77777777" w:rsidR="00251821" w:rsidRPr="00251821" w:rsidRDefault="00251821" w:rsidP="0005708E">
                  <w:pPr>
                    <w:keepNext/>
                    <w:keepLines/>
                    <w:jc w:val="center"/>
                    <w:rPr>
                      <w:rFonts w:ascii="Arial" w:hAnsi="Arial"/>
                      <w:sz w:val="18"/>
                      <w:szCs w:val="18"/>
                    </w:rPr>
                  </w:pPr>
                  <w:r w:rsidRPr="00251821">
                    <w:rPr>
                      <w:rFonts w:ascii="Arial" w:eastAsia="Yu Mincho" w:hAnsi="Arial"/>
                      <w:position w:val="-10"/>
                      <w:sz w:val="18"/>
                      <w:szCs w:val="18"/>
                    </w:rPr>
                    <w:object w:dxaOrig="195" w:dyaOrig="300" w14:anchorId="381D9B31">
                      <v:shape id="_x0000_i1035" type="#_x0000_t75" style="width:11.15pt;height:16.3pt" o:ole="">
                        <v:imagedata r:id="rId20" o:title=""/>
                      </v:shape>
                      <o:OLEObject Type="Embed" ProgID="Equation.3" ShapeID="_x0000_i1035" DrawAspect="Content" ObjectID="_1634728543" r:id="rId28"/>
                    </w:objec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0EB27A90" w14:textId="77777777" w:rsidR="00251821" w:rsidRPr="00251821" w:rsidRDefault="00251821" w:rsidP="0005708E">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A15E96D" wp14:editId="55A8B8CA">
                        <wp:extent cx="97155" cy="180340"/>
                        <wp:effectExtent l="0" t="0" r="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014AC25" w14:textId="77777777" w:rsidR="00251821" w:rsidRPr="00251821" w:rsidRDefault="00251821" w:rsidP="0005708E">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44C5EE15" wp14:editId="784B6727">
                        <wp:extent cx="97155" cy="180340"/>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2B5078CA"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4A4C5C3"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3</w:t>
                  </w:r>
                </w:p>
              </w:tc>
              <w:tc>
                <w:tcPr>
                  <w:tcW w:w="851" w:type="dxa"/>
                  <w:tcBorders>
                    <w:top w:val="single" w:sz="4" w:space="0" w:color="auto"/>
                    <w:left w:val="single" w:sz="4" w:space="0" w:color="auto"/>
                    <w:bottom w:val="single" w:sz="4" w:space="0" w:color="auto"/>
                    <w:right w:val="single" w:sz="4" w:space="0" w:color="auto"/>
                  </w:tcBorders>
                  <w:hideMark/>
                </w:tcPr>
                <w:p w14:paraId="0043AE19"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62D776AC">
                      <v:shape id="_x0000_i1036" type="#_x0000_t75" style="width:11.15pt;height:16.3pt" o:ole="">
                        <v:imagedata r:id="rId20" o:title=""/>
                      </v:shape>
                      <o:OLEObject Type="Embed" ProgID="Equation.3" ShapeID="_x0000_i1036" DrawAspect="Content" ObjectID="_1634728544" r:id="rId29"/>
                    </w:object>
                  </w:r>
                </w:p>
              </w:tc>
              <w:tc>
                <w:tcPr>
                  <w:tcW w:w="851" w:type="dxa"/>
                  <w:tcBorders>
                    <w:top w:val="single" w:sz="4" w:space="0" w:color="auto"/>
                    <w:left w:val="single" w:sz="4" w:space="0" w:color="auto"/>
                    <w:bottom w:val="single" w:sz="4" w:space="0" w:color="auto"/>
                    <w:right w:val="single" w:sz="4" w:space="0" w:color="auto"/>
                  </w:tcBorders>
                  <w:hideMark/>
                </w:tcPr>
                <w:p w14:paraId="3F7AA9E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EF09672">
                      <v:shape id="_x0000_i1037" type="#_x0000_t75" style="width:11.15pt;height:16.3pt" o:ole="">
                        <v:imagedata r:id="rId20" o:title=""/>
                      </v:shape>
                      <o:OLEObject Type="Embed" ProgID="Equation.3" ShapeID="_x0000_i1037" DrawAspect="Content" ObjectID="_1634728545" r:id="rId30"/>
                    </w:object>
                  </w:r>
                </w:p>
              </w:tc>
              <w:tc>
                <w:tcPr>
                  <w:tcW w:w="851" w:type="dxa"/>
                  <w:tcBorders>
                    <w:top w:val="single" w:sz="4" w:space="0" w:color="auto"/>
                    <w:left w:val="single" w:sz="4" w:space="0" w:color="auto"/>
                    <w:bottom w:val="single" w:sz="4" w:space="0" w:color="auto"/>
                    <w:right w:val="single" w:sz="4" w:space="0" w:color="auto"/>
                  </w:tcBorders>
                  <w:hideMark/>
                </w:tcPr>
                <w:p w14:paraId="5FD5054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EC89E2E">
                      <v:shape id="_x0000_i1038" type="#_x0000_t75" style="width:11.15pt;height:16.3pt" o:ole="">
                        <v:imagedata r:id="rId20" o:title=""/>
                      </v:shape>
                      <o:OLEObject Type="Embed" ProgID="Equation.3" ShapeID="_x0000_i1038" DrawAspect="Content" ObjectID="_1634728546" r:id="rId31"/>
                    </w:object>
                  </w:r>
                </w:p>
              </w:tc>
              <w:tc>
                <w:tcPr>
                  <w:tcW w:w="1161" w:type="dxa"/>
                  <w:tcBorders>
                    <w:top w:val="single" w:sz="4" w:space="0" w:color="auto"/>
                    <w:left w:val="single" w:sz="4" w:space="0" w:color="auto"/>
                    <w:bottom w:val="single" w:sz="4" w:space="0" w:color="auto"/>
                    <w:right w:val="single" w:sz="4" w:space="0" w:color="auto"/>
                  </w:tcBorders>
                  <w:hideMark/>
                </w:tcPr>
                <w:p w14:paraId="0A38F89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16933D6">
                      <v:shape id="_x0000_i1039" type="#_x0000_t75" style="width:11.15pt;height:16.3pt" o:ole="">
                        <v:imagedata r:id="rId20" o:title=""/>
                      </v:shape>
                      <o:OLEObject Type="Embed" ProgID="Equation.3" ShapeID="_x0000_i1039" DrawAspect="Content" ObjectID="_1634728547" r:id="rId32"/>
                    </w:objec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46A4C936" w14:textId="77777777" w:rsidR="00251821" w:rsidRPr="00251821" w:rsidRDefault="00251821" w:rsidP="00DB2658">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7FC146F7" wp14:editId="34CC5F0D">
                        <wp:extent cx="97155" cy="180340"/>
                        <wp:effectExtent l="0" t="0" r="0"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3AC80418" w14:textId="77777777" w:rsidR="00251821" w:rsidRPr="00251821" w:rsidRDefault="00251821" w:rsidP="00DB2658">
                  <w:pPr>
                    <w:keepNext/>
                    <w:keepLines/>
                    <w:jc w:val="center"/>
                    <w:rPr>
                      <w:rFonts w:ascii="Arial" w:eastAsia="Yu Mincho" w:hAnsi="Arial"/>
                      <w:sz w:val="18"/>
                      <w:szCs w:val="18"/>
                    </w:rPr>
                  </w:pPr>
                  <w:r w:rsidRPr="00251821">
                    <w:rPr>
                      <w:rFonts w:ascii="Arial" w:hAnsi="Arial"/>
                      <w:noProof/>
                      <w:position w:val="-10"/>
                      <w:sz w:val="18"/>
                      <w:szCs w:val="18"/>
                    </w:rPr>
                    <w:drawing>
                      <wp:inline distT="0" distB="0" distL="0" distR="0" wp14:anchorId="1F67502A" wp14:editId="597B17F3">
                        <wp:extent cx="97155" cy="180340"/>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651E0A4" w14:textId="77777777" w:rsidR="00251821" w:rsidRPr="00251821" w:rsidRDefault="00251821" w:rsidP="0005708E">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6252A40F" wp14:editId="176CCB0A">
                        <wp:extent cx="97155" cy="180340"/>
                        <wp:effectExtent l="0" t="0" r="0" b="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2E23B7D7" w14:textId="77777777" w:rsidR="00251821" w:rsidRPr="00251821" w:rsidRDefault="00251821" w:rsidP="0005708E">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43B5EE36" wp14:editId="35807492">
                        <wp:extent cx="97155" cy="180340"/>
                        <wp:effectExtent l="0" t="0" r="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13324972"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936B460"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2B29C4B"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5BF66C96">
                      <v:shape id="_x0000_i1040" type="#_x0000_t75" style="width:11.15pt;height:16.3pt" o:ole="">
                        <v:imagedata r:id="rId20" o:title=""/>
                      </v:shape>
                      <o:OLEObject Type="Embed" ProgID="Equation.3" ShapeID="_x0000_i1040" DrawAspect="Content" ObjectID="_1634728548" r:id="rId33"/>
                    </w:object>
                  </w:r>
                </w:p>
              </w:tc>
              <w:tc>
                <w:tcPr>
                  <w:tcW w:w="851" w:type="dxa"/>
                  <w:tcBorders>
                    <w:top w:val="single" w:sz="4" w:space="0" w:color="auto"/>
                    <w:left w:val="single" w:sz="4" w:space="0" w:color="auto"/>
                    <w:bottom w:val="single" w:sz="4" w:space="0" w:color="auto"/>
                    <w:right w:val="single" w:sz="4" w:space="0" w:color="auto"/>
                  </w:tcBorders>
                  <w:hideMark/>
                </w:tcPr>
                <w:p w14:paraId="2922C5C9"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7B09A26">
                      <v:shape id="_x0000_i1041" type="#_x0000_t75" style="width:11.15pt;height:16.3pt" o:ole="">
                        <v:imagedata r:id="rId20" o:title=""/>
                      </v:shape>
                      <o:OLEObject Type="Embed" ProgID="Equation.3" ShapeID="_x0000_i1041" DrawAspect="Content" ObjectID="_1634728549" r:id="rId34"/>
                    </w:object>
                  </w:r>
                </w:p>
              </w:tc>
              <w:tc>
                <w:tcPr>
                  <w:tcW w:w="851" w:type="dxa"/>
                  <w:tcBorders>
                    <w:top w:val="single" w:sz="4" w:space="0" w:color="auto"/>
                    <w:left w:val="single" w:sz="4" w:space="0" w:color="auto"/>
                    <w:bottom w:val="single" w:sz="4" w:space="0" w:color="auto"/>
                    <w:right w:val="single" w:sz="4" w:space="0" w:color="auto"/>
                  </w:tcBorders>
                  <w:hideMark/>
                </w:tcPr>
                <w:p w14:paraId="360A7002"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D166D9B">
                      <v:shape id="_x0000_i1042" type="#_x0000_t75" style="width:11.15pt;height:16.3pt" o:ole="">
                        <v:imagedata r:id="rId20" o:title=""/>
                      </v:shape>
                      <o:OLEObject Type="Embed" ProgID="Equation.3" ShapeID="_x0000_i1042" DrawAspect="Content" ObjectID="_1634728550" r:id="rId35"/>
                    </w:object>
                  </w:r>
                </w:p>
              </w:tc>
              <w:tc>
                <w:tcPr>
                  <w:tcW w:w="1161" w:type="dxa"/>
                  <w:tcBorders>
                    <w:top w:val="single" w:sz="4" w:space="0" w:color="auto"/>
                    <w:left w:val="single" w:sz="4" w:space="0" w:color="auto"/>
                    <w:bottom w:val="single" w:sz="4" w:space="0" w:color="auto"/>
                    <w:right w:val="single" w:sz="4" w:space="0" w:color="auto"/>
                  </w:tcBorders>
                  <w:hideMark/>
                </w:tcPr>
                <w:p w14:paraId="4977DB3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077D04B">
                      <v:shape id="_x0000_i1043" type="#_x0000_t75" style="width:11.15pt;height:16.3pt" o:ole="">
                        <v:imagedata r:id="rId20" o:title=""/>
                      </v:shape>
                      <o:OLEObject Type="Embed" ProgID="Equation.3" ShapeID="_x0000_i1043" DrawAspect="Content" ObjectID="_1634728551" r:id="rId36"/>
                    </w:object>
                  </w:r>
                </w:p>
              </w:tc>
              <w:tc>
                <w:tcPr>
                  <w:tcW w:w="456" w:type="dxa"/>
                  <w:tcBorders>
                    <w:top w:val="single" w:sz="4" w:space="0" w:color="auto"/>
                    <w:left w:val="single" w:sz="4" w:space="0" w:color="auto"/>
                    <w:bottom w:val="single" w:sz="4" w:space="0" w:color="auto"/>
                    <w:right w:val="single" w:sz="4" w:space="0" w:color="auto"/>
                  </w:tcBorders>
                  <w:hideMark/>
                </w:tcPr>
                <w:p w14:paraId="16218255"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5F7E7FD2">
                      <v:shape id="_x0000_i1044" type="#_x0000_t75" style="width:11.15pt;height:16.3pt" o:ole="">
                        <v:imagedata r:id="rId20" o:title=""/>
                      </v:shape>
                      <o:OLEObject Type="Embed" ProgID="Equation.3" ShapeID="_x0000_i1044" DrawAspect="Content" ObjectID="_1634728552" r:id="rId37"/>
                    </w:object>
                  </w:r>
                </w:p>
              </w:tc>
              <w:tc>
                <w:tcPr>
                  <w:tcW w:w="709" w:type="dxa"/>
                  <w:tcBorders>
                    <w:top w:val="single" w:sz="4" w:space="0" w:color="auto"/>
                    <w:left w:val="single" w:sz="4" w:space="0" w:color="auto"/>
                    <w:bottom w:val="single" w:sz="4" w:space="0" w:color="auto"/>
                    <w:right w:val="single" w:sz="4" w:space="0" w:color="auto"/>
                  </w:tcBorders>
                  <w:hideMark/>
                </w:tcPr>
                <w:p w14:paraId="1E91B6F2" w14:textId="77777777" w:rsidR="00251821" w:rsidRPr="00251821" w:rsidRDefault="00251821" w:rsidP="0005708E">
                  <w:pPr>
                    <w:keepNext/>
                    <w:keepLines/>
                    <w:jc w:val="center"/>
                    <w:rPr>
                      <w:rFonts w:ascii="Arial" w:hAnsi="Arial"/>
                      <w:sz w:val="18"/>
                      <w:szCs w:val="18"/>
                    </w:rPr>
                  </w:pPr>
                  <w:r w:rsidRPr="00251821">
                    <w:rPr>
                      <w:rFonts w:ascii="Arial" w:eastAsia="Yu Mincho" w:hAnsi="Arial"/>
                      <w:position w:val="-10"/>
                      <w:sz w:val="18"/>
                      <w:szCs w:val="18"/>
                    </w:rPr>
                    <w:object w:dxaOrig="195" w:dyaOrig="300" w14:anchorId="12FA8C6F">
                      <v:shape id="_x0000_i1045" type="#_x0000_t75" style="width:11.15pt;height:16.3pt" o:ole="">
                        <v:imagedata r:id="rId20" o:title=""/>
                      </v:shape>
                      <o:OLEObject Type="Embed" ProgID="Equation.3" ShapeID="_x0000_i1045" DrawAspect="Content" ObjectID="_1634728553" r:id="rId38"/>
                    </w:objec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57242101" w14:textId="77777777" w:rsidR="00251821" w:rsidRPr="00251821" w:rsidRDefault="00251821" w:rsidP="0005708E">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C04CE8C" wp14:editId="7F748B9A">
                        <wp:extent cx="97155" cy="180340"/>
                        <wp:effectExtent l="0" t="0" r="0" b="0"/>
                        <wp:docPr id="121" name="図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2012FAF5" w14:textId="77777777" w:rsidR="00251821" w:rsidRPr="00251821" w:rsidRDefault="00251821" w:rsidP="0005708E">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351C7C5F" wp14:editId="20DC11DE">
                        <wp:extent cx="97155" cy="180340"/>
                        <wp:effectExtent l="0" t="0" r="0"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2DA86A3E"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3855FC"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0B476789"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30EA3C71">
                      <v:shape id="_x0000_i1046" type="#_x0000_t75" style="width:11.15pt;height:16.3pt" o:ole="">
                        <v:imagedata r:id="rId20" o:title=""/>
                      </v:shape>
                      <o:OLEObject Type="Embed" ProgID="Equation.3" ShapeID="_x0000_i1046" DrawAspect="Content" ObjectID="_1634728554" r:id="rId39"/>
                    </w:object>
                  </w:r>
                </w:p>
              </w:tc>
              <w:tc>
                <w:tcPr>
                  <w:tcW w:w="851" w:type="dxa"/>
                  <w:tcBorders>
                    <w:top w:val="single" w:sz="4" w:space="0" w:color="auto"/>
                    <w:left w:val="single" w:sz="4" w:space="0" w:color="auto"/>
                    <w:bottom w:val="single" w:sz="4" w:space="0" w:color="auto"/>
                    <w:right w:val="single" w:sz="4" w:space="0" w:color="auto"/>
                  </w:tcBorders>
                  <w:hideMark/>
                </w:tcPr>
                <w:p w14:paraId="4D5BB51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51D84C8">
                      <v:shape id="_x0000_i1047" type="#_x0000_t75" style="width:11.15pt;height:16.3pt" o:ole="">
                        <v:imagedata r:id="rId20" o:title=""/>
                      </v:shape>
                      <o:OLEObject Type="Embed" ProgID="Equation.3" ShapeID="_x0000_i1047" DrawAspect="Content" ObjectID="_1634728555" r:id="rId40"/>
                    </w:object>
                  </w:r>
                </w:p>
              </w:tc>
              <w:tc>
                <w:tcPr>
                  <w:tcW w:w="851" w:type="dxa"/>
                  <w:tcBorders>
                    <w:top w:val="single" w:sz="4" w:space="0" w:color="auto"/>
                    <w:left w:val="single" w:sz="4" w:space="0" w:color="auto"/>
                    <w:bottom w:val="single" w:sz="4" w:space="0" w:color="auto"/>
                    <w:right w:val="single" w:sz="4" w:space="0" w:color="auto"/>
                  </w:tcBorders>
                  <w:hideMark/>
                </w:tcPr>
                <w:p w14:paraId="523EB6F4"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87BBC4D">
                      <v:shape id="_x0000_i1048" type="#_x0000_t75" style="width:11.15pt;height:16.3pt" o:ole="">
                        <v:imagedata r:id="rId20" o:title=""/>
                      </v:shape>
                      <o:OLEObject Type="Embed" ProgID="Equation.3" ShapeID="_x0000_i1048" DrawAspect="Content" ObjectID="_1634728556" r:id="rId41"/>
                    </w:object>
                  </w:r>
                </w:p>
              </w:tc>
              <w:tc>
                <w:tcPr>
                  <w:tcW w:w="1161" w:type="dxa"/>
                  <w:tcBorders>
                    <w:top w:val="single" w:sz="4" w:space="0" w:color="auto"/>
                    <w:left w:val="single" w:sz="4" w:space="0" w:color="auto"/>
                    <w:bottom w:val="single" w:sz="4" w:space="0" w:color="auto"/>
                    <w:right w:val="single" w:sz="4" w:space="0" w:color="auto"/>
                  </w:tcBorders>
                  <w:hideMark/>
                </w:tcPr>
                <w:p w14:paraId="4AFD7DB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DF3D966">
                      <v:shape id="_x0000_i1049" type="#_x0000_t75" style="width:11.15pt;height:16.3pt" o:ole="">
                        <v:imagedata r:id="rId20" o:title=""/>
                      </v:shape>
                      <o:OLEObject Type="Embed" ProgID="Equation.3" ShapeID="_x0000_i1049" DrawAspect="Content" ObjectID="_1634728557" r:id="rId42"/>
                    </w:objec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79CBBAFA"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35A644D2" wp14:editId="46AAF798">
                        <wp:extent cx="97155" cy="180340"/>
                        <wp:effectExtent l="0" t="0" r="0" b="0"/>
                        <wp:docPr id="127" name="図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17D0F432" w14:textId="77777777" w:rsidR="00251821" w:rsidRPr="00251821" w:rsidRDefault="00251821" w:rsidP="00DB2658">
                  <w:pPr>
                    <w:keepNext/>
                    <w:keepLines/>
                    <w:jc w:val="center"/>
                    <w:rPr>
                      <w:rFonts w:ascii="Arial" w:eastAsia="Yu Mincho" w:hAnsi="Arial"/>
                      <w:sz w:val="18"/>
                      <w:szCs w:val="18"/>
                    </w:rPr>
                  </w:pPr>
                  <w:r w:rsidRPr="00251821">
                    <w:rPr>
                      <w:rFonts w:ascii="Arial" w:hAnsi="Arial" w:cs="Arial"/>
                      <w:noProof/>
                      <w:position w:val="-10"/>
                      <w:sz w:val="18"/>
                      <w:szCs w:val="18"/>
                    </w:rPr>
                    <w:drawing>
                      <wp:inline distT="0" distB="0" distL="0" distR="0" wp14:anchorId="27E94AC0" wp14:editId="3BE57AFF">
                        <wp:extent cx="97155" cy="180340"/>
                        <wp:effectExtent l="0" t="0" r="0" b="0"/>
                        <wp:docPr id="128" name="図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634E0E1" w14:textId="77777777" w:rsidR="00251821" w:rsidRPr="00251821" w:rsidRDefault="00251821" w:rsidP="0005708E">
                  <w:pPr>
                    <w:keepNext/>
                    <w:keepLines/>
                    <w:jc w:val="center"/>
                    <w:rPr>
                      <w:rFonts w:ascii="Arial" w:hAnsi="Arial"/>
                      <w:sz w:val="18"/>
                      <w:szCs w:val="18"/>
                    </w:rPr>
                  </w:pPr>
                  <w:r w:rsidRPr="00251821">
                    <w:rPr>
                      <w:rFonts w:ascii="Arial" w:hAnsi="Arial" w:cs="Arial"/>
                      <w:noProof/>
                      <w:position w:val="-10"/>
                      <w:sz w:val="18"/>
                      <w:szCs w:val="18"/>
                    </w:rPr>
                    <w:drawing>
                      <wp:inline distT="0" distB="0" distL="0" distR="0" wp14:anchorId="6DAC5AE8" wp14:editId="0828610F">
                        <wp:extent cx="97155" cy="180340"/>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5A3F2D9"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02029C9" wp14:editId="3CEFB360">
                        <wp:extent cx="97155" cy="180340"/>
                        <wp:effectExtent l="0" t="0" r="0" b="0"/>
                        <wp:docPr id="130" name="図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6501A932"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3100864B" w14:textId="77777777" w:rsidR="00251821" w:rsidRPr="00251821" w:rsidRDefault="00251821" w:rsidP="00DB2658">
                  <w:pPr>
                    <w:keepNext/>
                    <w:keepLines/>
                    <w:jc w:val="center"/>
                    <w:rPr>
                      <w:rFonts w:ascii="Arial" w:hAnsi="Arial" w:cs="Arial"/>
                      <w:sz w:val="18"/>
                    </w:rPr>
                  </w:pPr>
                  <w:r w:rsidRPr="0025182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C2CC6CE"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4EE7E89C">
                      <v:shape id="_x0000_i1050" type="#_x0000_t75" style="width:11.15pt;height:16.3pt" o:ole="">
                        <v:imagedata r:id="rId20" o:title=""/>
                      </v:shape>
                      <o:OLEObject Type="Embed" ProgID="Equation.3" ShapeID="_x0000_i1050" DrawAspect="Content" ObjectID="_1634728558" r:id="rId43"/>
                    </w:object>
                  </w:r>
                </w:p>
              </w:tc>
              <w:tc>
                <w:tcPr>
                  <w:tcW w:w="851" w:type="dxa"/>
                  <w:tcBorders>
                    <w:top w:val="single" w:sz="4" w:space="0" w:color="auto"/>
                    <w:left w:val="single" w:sz="4" w:space="0" w:color="auto"/>
                    <w:bottom w:val="single" w:sz="4" w:space="0" w:color="auto"/>
                    <w:right w:val="single" w:sz="4" w:space="0" w:color="auto"/>
                  </w:tcBorders>
                  <w:hideMark/>
                </w:tcPr>
                <w:p w14:paraId="5CD3CBB0"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1D3783F">
                      <v:shape id="_x0000_i1051" type="#_x0000_t75" style="width:11.15pt;height:16.3pt" o:ole="">
                        <v:imagedata r:id="rId20" o:title=""/>
                      </v:shape>
                      <o:OLEObject Type="Embed" ProgID="Equation.3" ShapeID="_x0000_i1051" DrawAspect="Content" ObjectID="_1634728559" r:id="rId44"/>
                    </w:object>
                  </w:r>
                </w:p>
              </w:tc>
              <w:tc>
                <w:tcPr>
                  <w:tcW w:w="851" w:type="dxa"/>
                  <w:tcBorders>
                    <w:top w:val="single" w:sz="4" w:space="0" w:color="auto"/>
                    <w:left w:val="single" w:sz="4" w:space="0" w:color="auto"/>
                    <w:bottom w:val="single" w:sz="4" w:space="0" w:color="auto"/>
                    <w:right w:val="single" w:sz="4" w:space="0" w:color="auto"/>
                  </w:tcBorders>
                  <w:hideMark/>
                </w:tcPr>
                <w:p w14:paraId="443A0CB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8B8DEFB">
                      <v:shape id="_x0000_i1052" type="#_x0000_t75" style="width:11.15pt;height:16.3pt" o:ole="">
                        <v:imagedata r:id="rId20" o:title=""/>
                      </v:shape>
                      <o:OLEObject Type="Embed" ProgID="Equation.3" ShapeID="_x0000_i1052" DrawAspect="Content" ObjectID="_1634728560" r:id="rId45"/>
                    </w:object>
                  </w:r>
                </w:p>
              </w:tc>
              <w:tc>
                <w:tcPr>
                  <w:tcW w:w="1161" w:type="dxa"/>
                  <w:tcBorders>
                    <w:top w:val="single" w:sz="4" w:space="0" w:color="auto"/>
                    <w:left w:val="single" w:sz="4" w:space="0" w:color="auto"/>
                    <w:bottom w:val="single" w:sz="4" w:space="0" w:color="auto"/>
                    <w:right w:val="single" w:sz="4" w:space="0" w:color="auto"/>
                  </w:tcBorders>
                  <w:hideMark/>
                </w:tcPr>
                <w:p w14:paraId="0206599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74F11B6">
                      <v:shape id="_x0000_i1053" type="#_x0000_t75" style="width:11.15pt;height:16.3pt" o:ole="">
                        <v:imagedata r:id="rId20" o:title=""/>
                      </v:shape>
                      <o:OLEObject Type="Embed" ProgID="Equation.3" ShapeID="_x0000_i1053" DrawAspect="Content" ObjectID="_1634728561" r:id="rId46"/>
                    </w:object>
                  </w:r>
                </w:p>
              </w:tc>
              <w:tc>
                <w:tcPr>
                  <w:tcW w:w="456" w:type="dxa"/>
                  <w:tcBorders>
                    <w:top w:val="single" w:sz="4" w:space="0" w:color="auto"/>
                    <w:left w:val="single" w:sz="4" w:space="0" w:color="auto"/>
                    <w:bottom w:val="single" w:sz="4" w:space="0" w:color="auto"/>
                    <w:right w:val="single" w:sz="4" w:space="0" w:color="auto"/>
                  </w:tcBorders>
                  <w:hideMark/>
                </w:tcPr>
                <w:p w14:paraId="48A6D309" w14:textId="77777777" w:rsidR="00251821" w:rsidRPr="00251821" w:rsidRDefault="00251821" w:rsidP="00DB2658">
                  <w:pPr>
                    <w:keepNext/>
                    <w:keepLines/>
                    <w:jc w:val="center"/>
                    <w:rPr>
                      <w:rFonts w:ascii="Arial" w:eastAsia="Yu Mincho" w:hAnsi="Arial"/>
                      <w:sz w:val="18"/>
                      <w:szCs w:val="18"/>
                    </w:rPr>
                  </w:pPr>
                  <w:r w:rsidRPr="00251821">
                    <w:rPr>
                      <w:rFonts w:ascii="Arial" w:eastAsia="SimSun" w:hAnsi="Arial"/>
                      <w:noProof/>
                      <w:color w:val="FF0000"/>
                      <w:position w:val="-10"/>
                      <w:sz w:val="18"/>
                      <w:szCs w:val="18"/>
                    </w:rPr>
                    <w:drawing>
                      <wp:inline distT="0" distB="0" distL="0" distR="0" wp14:anchorId="52C13BEC" wp14:editId="5A24A29A">
                        <wp:extent cx="145415" cy="193675"/>
                        <wp:effectExtent l="0" t="0" r="6985" b="0"/>
                        <wp:docPr id="13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5415" cy="193675"/>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hideMark/>
                </w:tcPr>
                <w:p w14:paraId="42FAE56D"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A7ECDEE" wp14:editId="7DAEF115">
                        <wp:extent cx="97155" cy="180340"/>
                        <wp:effectExtent l="0" t="0" r="0" b="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E405952" w14:textId="77777777" w:rsidR="00251821" w:rsidRPr="00251821" w:rsidRDefault="00251821" w:rsidP="0005708E">
                  <w:pPr>
                    <w:keepNext/>
                    <w:keepLines/>
                    <w:jc w:val="center"/>
                    <w:rPr>
                      <w:rFonts w:ascii="Arial" w:hAnsi="Arial"/>
                      <w:sz w:val="18"/>
                      <w:szCs w:val="18"/>
                    </w:rPr>
                  </w:pPr>
                  <w:r w:rsidRPr="00251821">
                    <w:rPr>
                      <w:rFonts w:ascii="Arial" w:hAnsi="Arial" w:cs="Arial"/>
                      <w:noProof/>
                      <w:position w:val="-10"/>
                      <w:sz w:val="18"/>
                      <w:szCs w:val="18"/>
                    </w:rPr>
                    <w:drawing>
                      <wp:inline distT="0" distB="0" distL="0" distR="0" wp14:anchorId="3B63B9BA" wp14:editId="7BD8DB39">
                        <wp:extent cx="97155" cy="180340"/>
                        <wp:effectExtent l="0" t="0" r="0" b="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5AF66A4"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95F24EC" wp14:editId="62185E74">
                        <wp:extent cx="97155" cy="180340"/>
                        <wp:effectExtent l="0" t="0" r="0" b="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3C78EC51"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C4DAAE" w14:textId="77777777" w:rsidR="00251821" w:rsidRPr="00251821" w:rsidRDefault="00251821" w:rsidP="00DB2658">
                  <w:pPr>
                    <w:keepNext/>
                    <w:keepLines/>
                    <w:jc w:val="center"/>
                    <w:rPr>
                      <w:rFonts w:ascii="Arial" w:hAnsi="Arial"/>
                      <w:sz w:val="18"/>
                    </w:rPr>
                  </w:pPr>
                  <w:r w:rsidRPr="00251821">
                    <w:rPr>
                      <w:rFonts w:ascii="Arial" w:hAnsi="Arial" w:cs="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A05EDD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F673460">
                      <v:shape id="_x0000_i1054" type="#_x0000_t75" style="width:11.15pt;height:16.3pt" o:ole="">
                        <v:imagedata r:id="rId20" o:title=""/>
                      </v:shape>
                      <o:OLEObject Type="Embed" ProgID="Equation.3" ShapeID="_x0000_i1054" DrawAspect="Content" ObjectID="_1634728562" r:id="rId48"/>
                    </w:object>
                  </w:r>
                </w:p>
              </w:tc>
              <w:tc>
                <w:tcPr>
                  <w:tcW w:w="851" w:type="dxa"/>
                  <w:tcBorders>
                    <w:top w:val="single" w:sz="4" w:space="0" w:color="auto"/>
                    <w:left w:val="single" w:sz="4" w:space="0" w:color="auto"/>
                    <w:bottom w:val="single" w:sz="4" w:space="0" w:color="auto"/>
                    <w:right w:val="single" w:sz="4" w:space="0" w:color="auto"/>
                  </w:tcBorders>
                  <w:hideMark/>
                </w:tcPr>
                <w:p w14:paraId="70817C5C"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5514F18">
                      <v:shape id="_x0000_i1055" type="#_x0000_t75" style="width:11.15pt;height:16.3pt" o:ole="">
                        <v:imagedata r:id="rId20" o:title=""/>
                      </v:shape>
                      <o:OLEObject Type="Embed" ProgID="Equation.3" ShapeID="_x0000_i1055" DrawAspect="Content" ObjectID="_1634728563" r:id="rId49"/>
                    </w:object>
                  </w:r>
                </w:p>
              </w:tc>
              <w:tc>
                <w:tcPr>
                  <w:tcW w:w="851" w:type="dxa"/>
                  <w:tcBorders>
                    <w:top w:val="single" w:sz="4" w:space="0" w:color="auto"/>
                    <w:left w:val="single" w:sz="4" w:space="0" w:color="auto"/>
                    <w:bottom w:val="single" w:sz="4" w:space="0" w:color="auto"/>
                    <w:right w:val="single" w:sz="4" w:space="0" w:color="auto"/>
                  </w:tcBorders>
                  <w:hideMark/>
                </w:tcPr>
                <w:p w14:paraId="328CC4E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B542E41">
                      <v:shape id="_x0000_i1056" type="#_x0000_t75" style="width:11.15pt;height:16.3pt" o:ole="">
                        <v:imagedata r:id="rId20" o:title=""/>
                      </v:shape>
                      <o:OLEObject Type="Embed" ProgID="Equation.3" ShapeID="_x0000_i1056" DrawAspect="Content" ObjectID="_1634728564" r:id="rId50"/>
                    </w:object>
                  </w:r>
                </w:p>
              </w:tc>
              <w:tc>
                <w:tcPr>
                  <w:tcW w:w="1161" w:type="dxa"/>
                  <w:tcBorders>
                    <w:top w:val="single" w:sz="4" w:space="0" w:color="auto"/>
                    <w:left w:val="single" w:sz="4" w:space="0" w:color="auto"/>
                    <w:bottom w:val="single" w:sz="4" w:space="0" w:color="auto"/>
                    <w:right w:val="single" w:sz="4" w:space="0" w:color="auto"/>
                  </w:tcBorders>
                  <w:hideMark/>
                </w:tcPr>
                <w:p w14:paraId="5D6B29A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77F219F">
                      <v:shape id="_x0000_i1057" type="#_x0000_t75" style="width:11.15pt;height:16.3pt" o:ole="">
                        <v:imagedata r:id="rId20" o:title=""/>
                      </v:shape>
                      <o:OLEObject Type="Embed" ProgID="Equation.3" ShapeID="_x0000_i1057" DrawAspect="Content" ObjectID="_1634728565" r:id="rId51"/>
                    </w:object>
                  </w:r>
                </w:p>
              </w:tc>
              <w:tc>
                <w:tcPr>
                  <w:tcW w:w="456" w:type="dxa"/>
                  <w:tcBorders>
                    <w:top w:val="single" w:sz="4" w:space="0" w:color="auto"/>
                    <w:left w:val="single" w:sz="4" w:space="0" w:color="auto"/>
                    <w:bottom w:val="single" w:sz="4" w:space="0" w:color="auto"/>
                    <w:right w:val="single" w:sz="4" w:space="0" w:color="auto"/>
                  </w:tcBorders>
                  <w:hideMark/>
                </w:tcPr>
                <w:p w14:paraId="732929E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3399878">
                      <v:shape id="_x0000_i1058" type="#_x0000_t75" style="width:11.15pt;height:16.3pt" o:ole="">
                        <v:imagedata r:id="rId20" o:title=""/>
                      </v:shape>
                      <o:OLEObject Type="Embed" ProgID="Equation.3" ShapeID="_x0000_i1058" DrawAspect="Content" ObjectID="_1634728566" r:id="rId52"/>
                    </w:object>
                  </w:r>
                </w:p>
              </w:tc>
              <w:tc>
                <w:tcPr>
                  <w:tcW w:w="709" w:type="dxa"/>
                  <w:tcBorders>
                    <w:top w:val="single" w:sz="4" w:space="0" w:color="auto"/>
                    <w:left w:val="single" w:sz="4" w:space="0" w:color="auto"/>
                    <w:bottom w:val="single" w:sz="4" w:space="0" w:color="auto"/>
                    <w:right w:val="single" w:sz="4" w:space="0" w:color="auto"/>
                  </w:tcBorders>
                  <w:hideMark/>
                </w:tcPr>
                <w:p w14:paraId="0D388A83"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5BEC777C" wp14:editId="19B0A6BE">
                        <wp:extent cx="97155" cy="180340"/>
                        <wp:effectExtent l="0" t="0" r="0" b="0"/>
                        <wp:docPr id="144" name="図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D267B1C"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28F98092" wp14:editId="06C627B3">
                        <wp:extent cx="97155" cy="180340"/>
                        <wp:effectExtent l="0" t="0" r="0" b="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584DD1DD"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AEDBC84" wp14:editId="0D660087">
                        <wp:extent cx="97155" cy="180340"/>
                        <wp:effectExtent l="0" t="0" r="0" b="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09FAE56D"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60EC1E3" w14:textId="77777777" w:rsidR="00251821" w:rsidRPr="00251821" w:rsidRDefault="00251821" w:rsidP="00DB2658">
                  <w:pPr>
                    <w:keepNext/>
                    <w:keepLines/>
                    <w:jc w:val="center"/>
                    <w:rPr>
                      <w:rFonts w:ascii="Arial" w:hAnsi="Arial"/>
                      <w:sz w:val="18"/>
                    </w:rPr>
                  </w:pPr>
                  <w:r w:rsidRPr="0025182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7F30C880"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39B06E9">
                      <v:shape id="_x0000_i1059" type="#_x0000_t75" style="width:11.15pt;height:16.3pt" o:ole="">
                        <v:imagedata r:id="rId20" o:title=""/>
                      </v:shape>
                      <o:OLEObject Type="Embed" ProgID="Equation.3" ShapeID="_x0000_i1059" DrawAspect="Content" ObjectID="_1634728567" r:id="rId53"/>
                    </w:object>
                  </w:r>
                </w:p>
              </w:tc>
              <w:tc>
                <w:tcPr>
                  <w:tcW w:w="851" w:type="dxa"/>
                  <w:tcBorders>
                    <w:top w:val="single" w:sz="4" w:space="0" w:color="auto"/>
                    <w:left w:val="single" w:sz="4" w:space="0" w:color="auto"/>
                    <w:bottom w:val="single" w:sz="4" w:space="0" w:color="auto"/>
                    <w:right w:val="single" w:sz="4" w:space="0" w:color="auto"/>
                  </w:tcBorders>
                  <w:hideMark/>
                </w:tcPr>
                <w:p w14:paraId="0D88C8B2"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D651840">
                      <v:shape id="_x0000_i1060" type="#_x0000_t75" style="width:11.15pt;height:16.3pt" o:ole="">
                        <v:imagedata r:id="rId20" o:title=""/>
                      </v:shape>
                      <o:OLEObject Type="Embed" ProgID="Equation.3" ShapeID="_x0000_i1060" DrawAspect="Content" ObjectID="_1634728568" r:id="rId54"/>
                    </w:object>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hideMark/>
                </w:tcPr>
                <w:p w14:paraId="5388013F"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A600F9D">
                      <v:shape id="_x0000_i1061" type="#_x0000_t75" style="width:11.15pt;height:16.3pt" o:ole="">
                        <v:imagedata r:id="rId20" o:title=""/>
                      </v:shape>
                      <o:OLEObject Type="Embed" ProgID="Equation.3" ShapeID="_x0000_i1061" DrawAspect="Content" ObjectID="_1634728569" r:id="rId55"/>
                    </w:object>
                  </w:r>
                  <w:r w:rsidRPr="00251821">
                    <w:rPr>
                      <w:rFonts w:ascii="Arial" w:hAnsi="Arial"/>
                      <w:sz w:val="18"/>
                      <w:szCs w:val="18"/>
                    </w:rPr>
                    <w:t>, 7</w:t>
                  </w:r>
                </w:p>
              </w:tc>
              <w:tc>
                <w:tcPr>
                  <w:tcW w:w="1161" w:type="dxa"/>
                  <w:tcBorders>
                    <w:top w:val="single" w:sz="4" w:space="0" w:color="auto"/>
                    <w:left w:val="single" w:sz="4" w:space="0" w:color="auto"/>
                    <w:bottom w:val="single" w:sz="4" w:space="0" w:color="auto"/>
                    <w:right w:val="single" w:sz="4" w:space="0" w:color="auto"/>
                  </w:tcBorders>
                  <w:hideMark/>
                </w:tcPr>
                <w:p w14:paraId="23A4AAA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243D4FF">
                      <v:shape id="_x0000_i1062" type="#_x0000_t75" style="width:11.15pt;height:16.3pt" o:ole="">
                        <v:imagedata r:id="rId20" o:title=""/>
                      </v:shape>
                      <o:OLEObject Type="Embed" ProgID="Equation.3" ShapeID="_x0000_i1062" DrawAspect="Content" ObjectID="_1634728570" r:id="rId56"/>
                    </w:object>
                  </w:r>
                  <w:r w:rsidRPr="00251821">
                    <w:rPr>
                      <w:rFonts w:ascii="Arial" w:hAnsi="Arial"/>
                      <w:sz w:val="18"/>
                      <w:szCs w:val="18"/>
                    </w:rPr>
                    <w:t>, 7</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7F337732"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D2EF62A" wp14:editId="2DA668CC">
                        <wp:extent cx="97155" cy="180340"/>
                        <wp:effectExtent l="0" t="0" r="0" b="0"/>
                        <wp:docPr id="151" name="図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7470B1A5"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40F3525" wp14:editId="3676C0E2">
                        <wp:extent cx="97155" cy="180340"/>
                        <wp:effectExtent l="0" t="0" r="0" b="0"/>
                        <wp:docPr id="152" name="図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6</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25C0A25"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04D25BEC" wp14:editId="151D1A98">
                        <wp:extent cx="97155" cy="180340"/>
                        <wp:effectExtent l="0" t="0" r="0" b="0"/>
                        <wp:docPr id="153" name="図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3FFDE304"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891F2FE" wp14:editId="3223AF79">
                        <wp:extent cx="97155" cy="180340"/>
                        <wp:effectExtent l="0" t="0" r="0" b="0"/>
                        <wp:docPr id="154" name="図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w:t>
                  </w:r>
                </w:p>
              </w:tc>
            </w:tr>
            <w:tr w:rsidR="00D57B44" w:rsidRPr="00251821" w14:paraId="5AF52972" w14:textId="77777777" w:rsidTr="00CB197E">
              <w:trPr>
                <w:jc w:val="center"/>
              </w:trPr>
              <w:tc>
                <w:tcPr>
                  <w:tcW w:w="1967" w:type="dxa"/>
                  <w:tcBorders>
                    <w:top w:val="single" w:sz="4" w:space="0" w:color="auto"/>
                    <w:left w:val="single" w:sz="4" w:space="0" w:color="auto"/>
                    <w:bottom w:val="single" w:sz="4" w:space="0" w:color="auto"/>
                    <w:right w:val="single" w:sz="4" w:space="0" w:color="auto"/>
                  </w:tcBorders>
                  <w:hideMark/>
                </w:tcPr>
                <w:p w14:paraId="79403952" w14:textId="77777777" w:rsidR="00D57B44" w:rsidRPr="00251821" w:rsidRDefault="00D57B44" w:rsidP="00DB2658">
                  <w:pPr>
                    <w:keepNext/>
                    <w:keepLines/>
                    <w:jc w:val="center"/>
                    <w:rPr>
                      <w:rFonts w:ascii="Arial" w:hAnsi="Arial"/>
                      <w:sz w:val="18"/>
                    </w:rPr>
                  </w:pPr>
                  <w:r w:rsidRPr="00251821">
                    <w:rPr>
                      <w:rFonts w:ascii="Arial"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2FE3FDDE"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F4F281B">
                      <v:shape id="_x0000_i1063" type="#_x0000_t75" style="width:11.15pt;height:16.3pt" o:ole="">
                        <v:imagedata r:id="rId20" o:title=""/>
                      </v:shape>
                      <o:OLEObject Type="Embed" ProgID="Equation.3" ShapeID="_x0000_i1063" DrawAspect="Content" ObjectID="_1634728571" r:id="rId57"/>
                    </w:object>
                  </w:r>
                </w:p>
              </w:tc>
              <w:tc>
                <w:tcPr>
                  <w:tcW w:w="851" w:type="dxa"/>
                  <w:tcBorders>
                    <w:top w:val="single" w:sz="4" w:space="0" w:color="auto"/>
                    <w:left w:val="single" w:sz="4" w:space="0" w:color="auto"/>
                    <w:bottom w:val="single" w:sz="4" w:space="0" w:color="auto"/>
                    <w:right w:val="single" w:sz="4" w:space="0" w:color="auto"/>
                  </w:tcBorders>
                  <w:hideMark/>
                </w:tcPr>
                <w:p w14:paraId="588F09E2"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AC27C1B">
                      <v:shape id="_x0000_i1064" type="#_x0000_t75" style="width:11.15pt;height:16.3pt" o:ole="">
                        <v:imagedata r:id="rId20" o:title=""/>
                      </v:shape>
                      <o:OLEObject Type="Embed" ProgID="Equation.3" ShapeID="_x0000_i1064" DrawAspect="Content" ObjectID="_1634728572" r:id="rId58"/>
                    </w:object>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hideMark/>
                </w:tcPr>
                <w:p w14:paraId="027B13F3"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2201205">
                      <v:shape id="_x0000_i1065" type="#_x0000_t75" style="width:11.15pt;height:16.3pt" o:ole="">
                        <v:imagedata r:id="rId20" o:title=""/>
                      </v:shape>
                      <o:OLEObject Type="Embed" ProgID="Equation.3" ShapeID="_x0000_i1065" DrawAspect="Content" ObjectID="_1634728573" r:id="rId59"/>
                    </w:object>
                  </w:r>
                  <w:r w:rsidRPr="00251821">
                    <w:rPr>
                      <w:rFonts w:ascii="Arial" w:hAnsi="Arial"/>
                      <w:sz w:val="18"/>
                      <w:szCs w:val="18"/>
                    </w:rPr>
                    <w:t>, 7</w:t>
                  </w:r>
                </w:p>
              </w:tc>
              <w:tc>
                <w:tcPr>
                  <w:tcW w:w="1161" w:type="dxa"/>
                  <w:tcBorders>
                    <w:top w:val="single" w:sz="4" w:space="0" w:color="auto"/>
                    <w:left w:val="single" w:sz="4" w:space="0" w:color="auto"/>
                    <w:bottom w:val="single" w:sz="4" w:space="0" w:color="auto"/>
                    <w:right w:val="single" w:sz="4" w:space="0" w:color="auto"/>
                  </w:tcBorders>
                  <w:hideMark/>
                </w:tcPr>
                <w:p w14:paraId="46B8F385"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360072E">
                      <v:shape id="_x0000_i1066" type="#_x0000_t75" style="width:11.15pt;height:16.3pt" o:ole="">
                        <v:imagedata r:id="rId20" o:title=""/>
                      </v:shape>
                      <o:OLEObject Type="Embed" ProgID="Equation.3" ShapeID="_x0000_i1066" DrawAspect="Content" ObjectID="_1634728574" r:id="rId60"/>
                    </w:object>
                  </w:r>
                  <w:r w:rsidRPr="00251821">
                    <w:rPr>
                      <w:rFonts w:ascii="Arial" w:hAnsi="Arial"/>
                      <w:sz w:val="18"/>
                      <w:szCs w:val="18"/>
                    </w:rPr>
                    <w:t>, 7</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40630F88" w14:textId="54EC3C25"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05CC3362" wp14:editId="05DBE536">
                        <wp:extent cx="95250" cy="182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7B98F" w14:textId="5FF4FB58"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545B37AF" wp14:editId="4A7410D0">
                        <wp:extent cx="95250" cy="18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68508" w14:textId="61B5C60A"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157B5C9B" wp14:editId="389C5A29">
                        <wp:extent cx="95250" cy="182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DA54D5" w14:textId="613BA50B"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48378225" wp14:editId="1488958B">
                        <wp:extent cx="95250" cy="182880"/>
                        <wp:effectExtent l="0" t="0" r="0" b="0"/>
                        <wp:docPr id="12"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r w:rsidR="00D57B44" w:rsidRPr="00251821" w14:paraId="13F3105B" w14:textId="77777777" w:rsidTr="00CB197E">
              <w:trPr>
                <w:jc w:val="center"/>
              </w:trPr>
              <w:tc>
                <w:tcPr>
                  <w:tcW w:w="1967" w:type="dxa"/>
                  <w:tcBorders>
                    <w:top w:val="single" w:sz="4" w:space="0" w:color="auto"/>
                    <w:left w:val="single" w:sz="4" w:space="0" w:color="auto"/>
                    <w:bottom w:val="single" w:sz="4" w:space="0" w:color="auto"/>
                    <w:right w:val="single" w:sz="4" w:space="0" w:color="auto"/>
                  </w:tcBorders>
                  <w:hideMark/>
                </w:tcPr>
                <w:p w14:paraId="0A43F1DA" w14:textId="77777777" w:rsidR="00D57B44" w:rsidRPr="00251821" w:rsidRDefault="00D57B44" w:rsidP="00DB2658">
                  <w:pPr>
                    <w:keepNext/>
                    <w:keepLines/>
                    <w:jc w:val="center"/>
                    <w:rPr>
                      <w:rFonts w:ascii="Arial" w:hAnsi="Arial"/>
                      <w:sz w:val="18"/>
                    </w:rPr>
                  </w:pPr>
                  <w:r w:rsidRPr="0025182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BA20033"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60066D9">
                      <v:shape id="_x0000_i1067" type="#_x0000_t75" style="width:11.15pt;height:16.3pt" o:ole="">
                        <v:imagedata r:id="rId20" o:title=""/>
                      </v:shape>
                      <o:OLEObject Type="Embed" ProgID="Equation.3" ShapeID="_x0000_i1067" DrawAspect="Content" ObjectID="_1634728575" r:id="rId61"/>
                    </w:object>
                  </w:r>
                </w:p>
              </w:tc>
              <w:tc>
                <w:tcPr>
                  <w:tcW w:w="851" w:type="dxa"/>
                  <w:tcBorders>
                    <w:top w:val="single" w:sz="4" w:space="0" w:color="auto"/>
                    <w:left w:val="single" w:sz="4" w:space="0" w:color="auto"/>
                    <w:bottom w:val="single" w:sz="4" w:space="0" w:color="auto"/>
                    <w:right w:val="single" w:sz="4" w:space="0" w:color="auto"/>
                  </w:tcBorders>
                  <w:hideMark/>
                </w:tcPr>
                <w:p w14:paraId="40EE93B9"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876657B">
                      <v:shape id="_x0000_i1068" type="#_x0000_t75" style="width:11.15pt;height:16.3pt" o:ole="">
                        <v:imagedata r:id="rId20" o:title=""/>
                      </v:shape>
                      <o:OLEObject Type="Embed" ProgID="Equation.3" ShapeID="_x0000_i1068" DrawAspect="Content" ObjectID="_1634728576" r:id="rId62"/>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1BA5E8F7"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11FE093">
                      <v:shape id="_x0000_i1069" type="#_x0000_t75" style="width:11.15pt;height:16.3pt" o:ole="">
                        <v:imagedata r:id="rId20" o:title=""/>
                      </v:shape>
                      <o:OLEObject Type="Embed" ProgID="Equation.3" ShapeID="_x0000_i1069" DrawAspect="Content" ObjectID="_1634728577" r:id="rId63"/>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46E70D84"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EF7266C">
                      <v:shape id="_x0000_i1070" type="#_x0000_t75" style="width:11.15pt;height:16.3pt" o:ole="">
                        <v:imagedata r:id="rId20" o:title=""/>
                      </v:shape>
                      <o:OLEObject Type="Embed" ProgID="Equation.3" ShapeID="_x0000_i1070" DrawAspect="Content" ObjectID="_1634728578" r:id="rId64"/>
                    </w:object>
                  </w:r>
                  <w:r w:rsidRPr="00251821">
                    <w:rPr>
                      <w:rFonts w:ascii="Arial" w:hAnsi="Arial"/>
                      <w:sz w:val="18"/>
                      <w:szCs w:val="18"/>
                    </w:rPr>
                    <w:t>, 6, 9</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28FE6D3A" w14:textId="56DDAFA4"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11A7FE9F" wp14:editId="74DFDDA5">
                        <wp:extent cx="95250" cy="182880"/>
                        <wp:effectExtent l="0" t="0" r="0" b="0"/>
                        <wp:docPr id="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10F9B" w14:textId="4B46F282"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7BD250E5" wp14:editId="4E766211">
                        <wp:extent cx="95250" cy="182880"/>
                        <wp:effectExtent l="0" t="0" r="0" b="0"/>
                        <wp:docPr id="1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B0765C" w14:textId="2E9D1033"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5A834F30" wp14:editId="7A81DC65">
                        <wp:extent cx="95250" cy="182880"/>
                        <wp:effectExtent l="0" t="0" r="0" b="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EB9AB72" w14:textId="62F10779"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53B8A5AA" wp14:editId="6DB85C7F">
                        <wp:extent cx="95250" cy="182880"/>
                        <wp:effectExtent l="0" t="0" r="0" b="0"/>
                        <wp:docPr id="16"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r w:rsidR="00251821" w:rsidRPr="00251821" w14:paraId="4AC216F6"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6EC721A9" w14:textId="77777777" w:rsidR="00251821" w:rsidRPr="00251821" w:rsidRDefault="00251821" w:rsidP="00DB2658">
                  <w:pPr>
                    <w:keepNext/>
                    <w:keepLines/>
                    <w:jc w:val="center"/>
                    <w:rPr>
                      <w:rFonts w:ascii="Arial" w:hAnsi="Arial"/>
                      <w:sz w:val="18"/>
                    </w:rPr>
                  </w:pPr>
                  <w:r w:rsidRPr="00251821">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68634FD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A89A77F">
                      <v:shape id="_x0000_i1071" type="#_x0000_t75" style="width:11.15pt;height:16.3pt" o:ole="">
                        <v:imagedata r:id="rId20" o:title=""/>
                      </v:shape>
                      <o:OLEObject Type="Embed" ProgID="Equation.3" ShapeID="_x0000_i1071" DrawAspect="Content" ObjectID="_1634728579" r:id="rId65"/>
                    </w:object>
                  </w:r>
                </w:p>
              </w:tc>
              <w:tc>
                <w:tcPr>
                  <w:tcW w:w="851" w:type="dxa"/>
                  <w:tcBorders>
                    <w:top w:val="single" w:sz="4" w:space="0" w:color="auto"/>
                    <w:left w:val="single" w:sz="4" w:space="0" w:color="auto"/>
                    <w:bottom w:val="single" w:sz="4" w:space="0" w:color="auto"/>
                    <w:right w:val="single" w:sz="4" w:space="0" w:color="auto"/>
                  </w:tcBorders>
                  <w:hideMark/>
                </w:tcPr>
                <w:p w14:paraId="44FB109F"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DEB77B2">
                      <v:shape id="_x0000_i1072" type="#_x0000_t75" style="width:11.15pt;height:16.3pt" o:ole="">
                        <v:imagedata r:id="rId20" o:title=""/>
                      </v:shape>
                      <o:OLEObject Type="Embed" ProgID="Equation.3" ShapeID="_x0000_i1072" DrawAspect="Content" ObjectID="_1634728580" r:id="rId66"/>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6EB986F7"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D5BC938">
                      <v:shape id="_x0000_i1073" type="#_x0000_t75" style="width:11.15pt;height:16.3pt" o:ole="">
                        <v:imagedata r:id="rId20" o:title=""/>
                      </v:shape>
                      <o:OLEObject Type="Embed" ProgID="Equation.3" ShapeID="_x0000_i1073" DrawAspect="Content" ObjectID="_1634728581" r:id="rId67"/>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5E7B9E7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5435637">
                      <v:shape id="_x0000_i1074" type="#_x0000_t75" style="width:11.15pt;height:16.3pt" o:ole="">
                        <v:imagedata r:id="rId20" o:title=""/>
                      </v:shape>
                      <o:OLEObject Type="Embed" ProgID="Equation.3" ShapeID="_x0000_i1074" DrawAspect="Content" ObjectID="_1634728582" r:id="rId68"/>
                    </w:object>
                  </w:r>
                  <w:r w:rsidRPr="00251821">
                    <w:rPr>
                      <w:rFonts w:ascii="Arial" w:hAnsi="Arial"/>
                      <w:sz w:val="18"/>
                      <w:szCs w:val="18"/>
                    </w:rPr>
                    <w:t>, 6, 9</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477A9132"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31B8D504" wp14:editId="1AD0C1F0">
                        <wp:extent cx="97155" cy="180340"/>
                        <wp:effectExtent l="0" t="0" r="0" b="0"/>
                        <wp:docPr id="175" name="図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442108D3"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5ACD29A" wp14:editId="6218438C">
                        <wp:extent cx="97155" cy="180340"/>
                        <wp:effectExtent l="0" t="0" r="0" b="0"/>
                        <wp:docPr id="176" name="図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8</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25C6271"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7E43763" wp14:editId="692DAF86">
                        <wp:extent cx="97155" cy="180340"/>
                        <wp:effectExtent l="0" t="0" r="0" b="0"/>
                        <wp:docPr id="177" name="図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 8</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6D395015"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8B38A5D" wp14:editId="3ACFCDBA">
                        <wp:extent cx="97155" cy="180340"/>
                        <wp:effectExtent l="0" t="0" r="0" b="0"/>
                        <wp:docPr id="178" name="図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r w:rsidR="00251821" w:rsidRPr="00251821" w14:paraId="5C6E394D"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12F7B369" w14:textId="77777777" w:rsidR="00251821" w:rsidRPr="00251821" w:rsidRDefault="00251821" w:rsidP="00DB2658">
                  <w:pPr>
                    <w:keepNext/>
                    <w:keepLines/>
                    <w:jc w:val="center"/>
                    <w:rPr>
                      <w:rFonts w:ascii="Arial" w:hAnsi="Arial"/>
                      <w:sz w:val="18"/>
                    </w:rPr>
                  </w:pPr>
                  <w:r w:rsidRPr="00251821">
                    <w:rPr>
                      <w:rFonts w:ascii="Arial"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43AA870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34F52E6">
                      <v:shape id="_x0000_i1075" type="#_x0000_t75" style="width:11.15pt;height:16.3pt" o:ole="">
                        <v:imagedata r:id="rId20" o:title=""/>
                      </v:shape>
                      <o:OLEObject Type="Embed" ProgID="Equation.3" ShapeID="_x0000_i1075" DrawAspect="Content" ObjectID="_1634728583" r:id="rId69"/>
                    </w:object>
                  </w:r>
                </w:p>
              </w:tc>
              <w:tc>
                <w:tcPr>
                  <w:tcW w:w="851" w:type="dxa"/>
                  <w:tcBorders>
                    <w:top w:val="single" w:sz="4" w:space="0" w:color="auto"/>
                    <w:left w:val="single" w:sz="4" w:space="0" w:color="auto"/>
                    <w:bottom w:val="single" w:sz="4" w:space="0" w:color="auto"/>
                    <w:right w:val="single" w:sz="4" w:space="0" w:color="auto"/>
                  </w:tcBorders>
                  <w:hideMark/>
                </w:tcPr>
                <w:p w14:paraId="000B071E"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52C1001">
                      <v:shape id="_x0000_i1076" type="#_x0000_t75" style="width:11.15pt;height:16.3pt" o:ole="">
                        <v:imagedata r:id="rId20" o:title=""/>
                      </v:shape>
                      <o:OLEObject Type="Embed" ProgID="Equation.3" ShapeID="_x0000_i1076" DrawAspect="Content" ObjectID="_1634728584" r:id="rId70"/>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421CA8C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66ED705">
                      <v:shape id="_x0000_i1077" type="#_x0000_t75" style="width:11.15pt;height:16.3pt" o:ole="">
                        <v:imagedata r:id="rId20" o:title=""/>
                      </v:shape>
                      <o:OLEObject Type="Embed" ProgID="Equation.3" ShapeID="_x0000_i1077" DrawAspect="Content" ObjectID="_1634728585" r:id="rId71"/>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6083611C"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53BC0CC">
                      <v:shape id="_x0000_i1078" type="#_x0000_t75" style="width:11.15pt;height:16.3pt" o:ole="">
                        <v:imagedata r:id="rId20" o:title=""/>
                      </v:shape>
                      <o:OLEObject Type="Embed" ProgID="Equation.3" ShapeID="_x0000_i1078" DrawAspect="Content" ObjectID="_1634728586" r:id="rId72"/>
                    </w:object>
                  </w:r>
                  <w:r w:rsidRPr="00251821">
                    <w:rPr>
                      <w:rFonts w:ascii="Arial" w:hAnsi="Arial"/>
                      <w:sz w:val="18"/>
                      <w:szCs w:val="18"/>
                    </w:rPr>
                    <w:t>, 5, 8, 11</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2B316AF4"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1143E66" wp14:editId="10AAA321">
                        <wp:extent cx="97155" cy="180340"/>
                        <wp:effectExtent l="0" t="0" r="0" b="0"/>
                        <wp:docPr id="183" name="図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21E0EF2E"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D40D4D1" wp14:editId="3B316018">
                        <wp:extent cx="97155" cy="180340"/>
                        <wp:effectExtent l="0" t="0" r="0" b="0"/>
                        <wp:docPr id="184" name="図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10</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D4477B3"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0405075" wp14:editId="6E5B8D3D">
                        <wp:extent cx="97155" cy="180340"/>
                        <wp:effectExtent l="0" t="0" r="0" b="0"/>
                        <wp:docPr id="185" name="図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5, 10</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56B0EC83"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9465D5D" wp14:editId="2B788A89">
                        <wp:extent cx="97155" cy="180340"/>
                        <wp:effectExtent l="0" t="0" r="0" b="0"/>
                        <wp:docPr id="186" name="図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r w:rsidR="00251821" w:rsidRPr="00251821" w14:paraId="43C9221B"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992567" w14:textId="77777777" w:rsidR="00251821" w:rsidRPr="00251821" w:rsidRDefault="00251821" w:rsidP="00DB2658">
                  <w:pPr>
                    <w:keepNext/>
                    <w:keepLines/>
                    <w:jc w:val="center"/>
                    <w:rPr>
                      <w:rFonts w:ascii="Arial" w:hAnsi="Arial"/>
                      <w:sz w:val="18"/>
                    </w:rPr>
                  </w:pPr>
                  <w:r w:rsidRPr="00251821">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0D3C9F8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0600DD4">
                      <v:shape id="_x0000_i1079" type="#_x0000_t75" style="width:11.15pt;height:16.3pt" o:ole="">
                        <v:imagedata r:id="rId20" o:title=""/>
                      </v:shape>
                      <o:OLEObject Type="Embed" ProgID="Equation.3" ShapeID="_x0000_i1079" DrawAspect="Content" ObjectID="_1634728587" r:id="rId73"/>
                    </w:object>
                  </w:r>
                </w:p>
              </w:tc>
              <w:tc>
                <w:tcPr>
                  <w:tcW w:w="851" w:type="dxa"/>
                  <w:tcBorders>
                    <w:top w:val="single" w:sz="4" w:space="0" w:color="auto"/>
                    <w:left w:val="single" w:sz="4" w:space="0" w:color="auto"/>
                    <w:bottom w:val="single" w:sz="4" w:space="0" w:color="auto"/>
                    <w:right w:val="single" w:sz="4" w:space="0" w:color="auto"/>
                  </w:tcBorders>
                  <w:hideMark/>
                </w:tcPr>
                <w:p w14:paraId="69C015D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FFF4EF0">
                      <v:shape id="_x0000_i1080" type="#_x0000_t75" style="width:11.15pt;height:16.3pt" o:ole="">
                        <v:imagedata r:id="rId20" o:title=""/>
                      </v:shape>
                      <o:OLEObject Type="Embed" ProgID="Equation.3" ShapeID="_x0000_i1080" DrawAspect="Content" ObjectID="_1634728588" r:id="rId74"/>
                    </w:object>
                  </w:r>
                  <w:r w:rsidRPr="00251821">
                    <w:rPr>
                      <w:rFonts w:ascii="Arial" w:hAnsi="Arial"/>
                      <w:sz w:val="18"/>
                      <w:szCs w:val="18"/>
                    </w:rPr>
                    <w:t xml:space="preserve">, </w:t>
                  </w:r>
                  <m:oMath>
                    <m:sSub>
                      <m:sSubPr>
                        <m:ctrlPr>
                          <w:rPr>
                            <w:rFonts w:ascii="Cambria Math" w:eastAsia="Yu Mincho" w:hAnsi="Cambria Math"/>
                            <w:i/>
                            <w:sz w:val="18"/>
                            <w:szCs w:val="18"/>
                          </w:rPr>
                        </m:ctrlPr>
                      </m:sSubPr>
                      <m:e>
                        <m:r>
                          <w:rPr>
                            <w:rFonts w:ascii="Cambria Math" w:hAnsi="Cambria Math"/>
                            <w:sz w:val="18"/>
                            <w:szCs w:val="18"/>
                          </w:rPr>
                          <m:t>l</m:t>
                        </m:r>
                      </m:e>
                      <m:sub>
                        <m:r>
                          <w:rPr>
                            <w:rFonts w:ascii="Cambria Math" w:hAnsi="Cambria Math"/>
                            <w:sz w:val="18"/>
                            <w:szCs w:val="18"/>
                          </w:rPr>
                          <m:t>1</m:t>
                        </m:r>
                      </m:sub>
                    </m:sSub>
                  </m:oMath>
                </w:p>
              </w:tc>
              <w:tc>
                <w:tcPr>
                  <w:tcW w:w="851" w:type="dxa"/>
                  <w:tcBorders>
                    <w:top w:val="single" w:sz="4" w:space="0" w:color="auto"/>
                    <w:left w:val="single" w:sz="4" w:space="0" w:color="auto"/>
                    <w:bottom w:val="single" w:sz="4" w:space="0" w:color="auto"/>
                    <w:right w:val="single" w:sz="4" w:space="0" w:color="auto"/>
                  </w:tcBorders>
                  <w:hideMark/>
                </w:tcPr>
                <w:p w14:paraId="0911D9B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0842D9F">
                      <v:shape id="_x0000_i1081" type="#_x0000_t75" style="width:11.15pt;height:16.3pt" o:ole="">
                        <v:imagedata r:id="rId20" o:title=""/>
                      </v:shape>
                      <o:OLEObject Type="Embed" ProgID="Equation.3" ShapeID="_x0000_i1081" DrawAspect="Content" ObjectID="_1634728589" r:id="rId75"/>
                    </w:object>
                  </w:r>
                  <w:r w:rsidRPr="00251821">
                    <w:rPr>
                      <w:rFonts w:ascii="Arial" w:hAnsi="Arial"/>
                      <w:sz w:val="18"/>
                      <w:szCs w:val="18"/>
                    </w:rPr>
                    <w:t>, 7, 11</w:t>
                  </w:r>
                </w:p>
              </w:tc>
              <w:tc>
                <w:tcPr>
                  <w:tcW w:w="1161" w:type="dxa"/>
                  <w:tcBorders>
                    <w:top w:val="single" w:sz="4" w:space="0" w:color="auto"/>
                    <w:left w:val="single" w:sz="4" w:space="0" w:color="auto"/>
                    <w:bottom w:val="single" w:sz="4" w:space="0" w:color="auto"/>
                    <w:right w:val="single" w:sz="4" w:space="0" w:color="auto"/>
                  </w:tcBorders>
                  <w:hideMark/>
                </w:tcPr>
                <w:p w14:paraId="0CDA968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9D6FDE8">
                      <v:shape id="_x0000_i1082" type="#_x0000_t75" style="width:11.15pt;height:16.3pt" o:ole="">
                        <v:imagedata r:id="rId20" o:title=""/>
                      </v:shape>
                      <o:OLEObject Type="Embed" ProgID="Equation.3" ShapeID="_x0000_i1082" DrawAspect="Content" ObjectID="_1634728590" r:id="rId76"/>
                    </w:object>
                  </w:r>
                  <w:r w:rsidRPr="00251821">
                    <w:rPr>
                      <w:rFonts w:ascii="Arial" w:hAnsi="Arial"/>
                      <w:sz w:val="18"/>
                      <w:szCs w:val="18"/>
                    </w:rPr>
                    <w:t>, 5, 8, 11</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38CC95DA"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A6763C4" wp14:editId="7B6B204E">
                        <wp:extent cx="97155" cy="180340"/>
                        <wp:effectExtent l="0" t="0" r="0" b="0"/>
                        <wp:docPr id="192" name="図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1B9D8E82"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7C342D3" wp14:editId="78E78778">
                        <wp:extent cx="97155" cy="180340"/>
                        <wp:effectExtent l="0" t="0" r="0" b="0"/>
                        <wp:docPr id="193" name="図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10</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0670E18E"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544F93B" wp14:editId="221A4957">
                        <wp:extent cx="97155" cy="180340"/>
                        <wp:effectExtent l="0" t="0" r="0" b="0"/>
                        <wp:docPr id="194" name="図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5, 10</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3389AD46"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57C6093" wp14:editId="6F91DCAA">
                        <wp:extent cx="97155" cy="180340"/>
                        <wp:effectExtent l="0" t="0" r="0" b="0"/>
                        <wp:docPr id="195" name="図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bl>
          <w:p w14:paraId="09ED36B8" w14:textId="77777777" w:rsidR="00251821" w:rsidRPr="002E35F4" w:rsidRDefault="00251821" w:rsidP="00251821">
            <w:pPr>
              <w:keepNext/>
              <w:keepLines/>
              <w:spacing w:before="60"/>
              <w:jc w:val="center"/>
              <w:rPr>
                <w:rFonts w:ascii="Times New Roman" w:eastAsia="Yu Mincho" w:hAnsi="Times New Roman" w:cs="Times New Roman"/>
                <w:b/>
                <w:sz w:val="20"/>
              </w:rPr>
            </w:pPr>
          </w:p>
          <w:p w14:paraId="6C58DE9F" w14:textId="77777777" w:rsidR="00251821" w:rsidRPr="00251821" w:rsidRDefault="00251821" w:rsidP="00251821">
            <w:pPr>
              <w:keepNext/>
              <w:keepLines/>
              <w:spacing w:before="60"/>
              <w:jc w:val="center"/>
              <w:rPr>
                <w:rFonts w:ascii="Arial" w:hAnsi="Arial"/>
                <w:b/>
              </w:rPr>
            </w:pPr>
            <w:r w:rsidRPr="00251821">
              <w:rPr>
                <w:rFonts w:ascii="Arial" w:hAnsi="Arial"/>
                <w:b/>
              </w:rPr>
              <w:t xml:space="preserve">Table 7.4.1.1.2-4: PDSCH DM-RS positions </w:t>
            </w:r>
            <w:r w:rsidRPr="00251821">
              <w:rPr>
                <w:rFonts w:ascii="Arial" w:eastAsia="Yu Mincho" w:hAnsi="Arial"/>
                <w:b/>
                <w:position w:val="-6"/>
              </w:rPr>
              <w:object w:dxaOrig="165" w:dyaOrig="300" w14:anchorId="27D7A29F">
                <v:shape id="_x0000_i1083" type="#_x0000_t75" style="width:7.3pt;height:16.3pt" o:ole="">
                  <v:imagedata r:id="rId14" o:title=""/>
                </v:shape>
                <o:OLEObject Type="Embed" ProgID="Equation.3" ShapeID="_x0000_i1083" DrawAspect="Content" ObjectID="_1634728591" r:id="rId77"/>
              </w:object>
            </w:r>
            <w:r w:rsidRPr="00251821">
              <w:rPr>
                <w:rFonts w:ascii="Arial" w:hAnsi="Arial"/>
                <w:b/>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51821" w:rsidRPr="00251821" w14:paraId="733DB188" w14:textId="77777777" w:rsidTr="003C7AF0">
              <w:trPr>
                <w:jc w:val="center"/>
              </w:trPr>
              <w:tc>
                <w:tcPr>
                  <w:tcW w:w="2047" w:type="dxa"/>
                  <w:vMerge w:val="restart"/>
                  <w:tcBorders>
                    <w:top w:val="single" w:sz="4" w:space="0" w:color="auto"/>
                    <w:left w:val="single" w:sz="4" w:space="0" w:color="auto"/>
                    <w:bottom w:val="single" w:sz="4" w:space="0" w:color="auto"/>
                    <w:right w:val="single" w:sz="4" w:space="0" w:color="auto"/>
                  </w:tcBorders>
                  <w:hideMark/>
                </w:tcPr>
                <w:p w14:paraId="2861794B" w14:textId="77777777" w:rsidR="00251821" w:rsidRPr="00251821" w:rsidRDefault="00974899" w:rsidP="00DB2658">
                  <w:pPr>
                    <w:keepNext/>
                    <w:keepLines/>
                    <w:jc w:val="center"/>
                    <w:rPr>
                      <w:rFonts w:ascii="Arial" w:hAnsi="Arial"/>
                      <w:b/>
                      <w:sz w:val="18"/>
                    </w:rPr>
                  </w:pPr>
                  <m:oMath>
                    <m:sSub>
                      <m:sSubPr>
                        <m:ctrlPr>
                          <w:rPr>
                            <w:rFonts w:ascii="Cambria Math" w:eastAsia="Yu Mincho" w:hAnsi="Cambria Math"/>
                            <w:i/>
                          </w:rPr>
                        </m:ctrlPr>
                      </m:sSubPr>
                      <m:e>
                        <m:r>
                          <w:rPr>
                            <w:rFonts w:ascii="Cambria Math" w:hAnsi="Cambria Math"/>
                          </w:rPr>
                          <m:t>l</m:t>
                        </m:r>
                      </m:e>
                      <m:sub>
                        <m:r>
                          <m:rPr>
                            <m:nor/>
                          </m:rPr>
                          <w:rPr>
                            <w:rFonts w:ascii="Cambria Math" w:hAnsi="Cambria Math"/>
                          </w:rPr>
                          <m:t>d</m:t>
                        </m:r>
                      </m:sub>
                    </m:sSub>
                  </m:oMath>
                  <w:r w:rsidR="00251821" w:rsidRPr="00251821">
                    <w:rPr>
                      <w:rFonts w:ascii="Arial" w:hAnsi="Arial"/>
                      <w:b/>
                      <w:sz w:val="18"/>
                    </w:rPr>
                    <w:t xml:space="preserve"> in symbols</w:t>
                  </w:r>
                </w:p>
              </w:tc>
              <w:tc>
                <w:tcPr>
                  <w:tcW w:w="5106" w:type="dxa"/>
                  <w:gridSpan w:val="6"/>
                  <w:tcBorders>
                    <w:top w:val="single" w:sz="4" w:space="0" w:color="auto"/>
                    <w:left w:val="single" w:sz="4" w:space="0" w:color="auto"/>
                    <w:bottom w:val="nil"/>
                    <w:right w:val="single" w:sz="4" w:space="0" w:color="auto"/>
                  </w:tcBorders>
                  <w:vAlign w:val="bottom"/>
                  <w:hideMark/>
                </w:tcPr>
                <w:p w14:paraId="3E76EBB7" w14:textId="77777777" w:rsidR="00251821" w:rsidRPr="00251821" w:rsidRDefault="00251821" w:rsidP="00DB2658">
                  <w:pPr>
                    <w:keepNext/>
                    <w:keepLines/>
                    <w:jc w:val="center"/>
                    <w:rPr>
                      <w:rFonts w:ascii="Arial" w:hAnsi="Arial"/>
                      <w:b/>
                      <w:sz w:val="18"/>
                    </w:rPr>
                  </w:pPr>
                  <w:r w:rsidRPr="00251821">
                    <w:rPr>
                      <w:rFonts w:ascii="Arial" w:hAnsi="Arial"/>
                      <w:b/>
                      <w:sz w:val="18"/>
                    </w:rPr>
                    <w:t xml:space="preserve">DM-RS positions </w:t>
                  </w:r>
                  <w:r w:rsidRPr="00251821">
                    <w:rPr>
                      <w:rFonts w:ascii="Arial" w:hAnsi="Arial"/>
                      <w:b/>
                      <w:position w:val="-6"/>
                      <w:sz w:val="18"/>
                    </w:rPr>
                    <w:object w:dxaOrig="165" w:dyaOrig="300" w14:anchorId="16867279">
                      <v:shape id="_x0000_i1084" type="#_x0000_t75" style="width:7.3pt;height:16.3pt" o:ole="">
                        <v:imagedata r:id="rId14" o:title=""/>
                      </v:shape>
                      <o:OLEObject Type="Embed" ProgID="Equation.3" ShapeID="_x0000_i1084" DrawAspect="Content" ObjectID="_1634728592" r:id="rId78"/>
                    </w:object>
                  </w:r>
                </w:p>
              </w:tc>
            </w:tr>
            <w:tr w:rsidR="00251821" w:rsidRPr="00251821" w14:paraId="2D1BCFAE"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9762" w14:textId="77777777" w:rsidR="00251821" w:rsidRPr="00251821" w:rsidRDefault="00251821" w:rsidP="00CB197E">
                  <w:pPr>
                    <w:rPr>
                      <w:rFonts w:ascii="Arial" w:hAnsi="Arial"/>
                      <w:b/>
                      <w:sz w:val="18"/>
                    </w:rPr>
                  </w:pPr>
                </w:p>
              </w:tc>
              <w:tc>
                <w:tcPr>
                  <w:tcW w:w="2553" w:type="dxa"/>
                  <w:gridSpan w:val="3"/>
                  <w:tcBorders>
                    <w:top w:val="nil"/>
                    <w:left w:val="single" w:sz="4" w:space="0" w:color="auto"/>
                    <w:bottom w:val="single" w:sz="4" w:space="0" w:color="auto"/>
                    <w:right w:val="single" w:sz="4" w:space="0" w:color="auto"/>
                  </w:tcBorders>
                  <w:vAlign w:val="bottom"/>
                  <w:hideMark/>
                </w:tcPr>
                <w:p w14:paraId="7D4C5082"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A</w:t>
                  </w:r>
                </w:p>
              </w:tc>
              <w:tc>
                <w:tcPr>
                  <w:tcW w:w="2553" w:type="dxa"/>
                  <w:gridSpan w:val="3"/>
                  <w:tcBorders>
                    <w:top w:val="nil"/>
                    <w:left w:val="single" w:sz="4" w:space="0" w:color="auto"/>
                    <w:bottom w:val="single" w:sz="4" w:space="0" w:color="auto"/>
                    <w:right w:val="single" w:sz="4" w:space="0" w:color="auto"/>
                  </w:tcBorders>
                  <w:vAlign w:val="bottom"/>
                  <w:hideMark/>
                </w:tcPr>
                <w:p w14:paraId="73B9771F"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B</w:t>
                  </w:r>
                </w:p>
              </w:tc>
            </w:tr>
            <w:tr w:rsidR="00251821" w:rsidRPr="00251821" w14:paraId="54564E66"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B23F3" w14:textId="77777777" w:rsidR="00251821" w:rsidRPr="00251821" w:rsidRDefault="00251821" w:rsidP="00CB197E">
                  <w:pPr>
                    <w:rPr>
                      <w:rFonts w:ascii="Arial" w:hAnsi="Arial"/>
                      <w:b/>
                      <w:sz w:val="18"/>
                    </w:rPr>
                  </w:pPr>
                </w:p>
              </w:tc>
              <w:tc>
                <w:tcPr>
                  <w:tcW w:w="2553" w:type="dxa"/>
                  <w:gridSpan w:val="3"/>
                  <w:tcBorders>
                    <w:top w:val="single" w:sz="4" w:space="0" w:color="auto"/>
                    <w:left w:val="single" w:sz="4" w:space="0" w:color="auto"/>
                    <w:bottom w:val="nil"/>
                    <w:right w:val="single" w:sz="4" w:space="0" w:color="auto"/>
                  </w:tcBorders>
                  <w:vAlign w:val="bottom"/>
                  <w:hideMark/>
                </w:tcPr>
                <w:p w14:paraId="239EDDAC" w14:textId="77777777" w:rsidR="00251821" w:rsidRPr="00251821" w:rsidRDefault="00251821" w:rsidP="00CB197E">
                  <w:pPr>
                    <w:keepNext/>
                    <w:keepLines/>
                    <w:jc w:val="center"/>
                    <w:rPr>
                      <w:rFonts w:ascii="Arial" w:hAnsi="Arial"/>
                      <w:b/>
                      <w:sz w:val="18"/>
                    </w:rPr>
                  </w:pPr>
                  <w:r w:rsidRPr="00251821">
                    <w:rPr>
                      <w:rFonts w:ascii="Arial" w:hAnsi="Arial"/>
                      <w:b/>
                      <w:sz w:val="18"/>
                    </w:rPr>
                    <w:t>dmrs-AdditionalPosition</w:t>
                  </w:r>
                </w:p>
              </w:tc>
              <w:tc>
                <w:tcPr>
                  <w:tcW w:w="2553" w:type="dxa"/>
                  <w:gridSpan w:val="3"/>
                  <w:tcBorders>
                    <w:top w:val="single" w:sz="4" w:space="0" w:color="auto"/>
                    <w:left w:val="single" w:sz="4" w:space="0" w:color="auto"/>
                    <w:bottom w:val="nil"/>
                    <w:right w:val="single" w:sz="4" w:space="0" w:color="auto"/>
                  </w:tcBorders>
                  <w:vAlign w:val="bottom"/>
                  <w:hideMark/>
                </w:tcPr>
                <w:p w14:paraId="20AAD266" w14:textId="77777777" w:rsidR="00251821" w:rsidRPr="00251821" w:rsidRDefault="00251821" w:rsidP="00CB197E">
                  <w:pPr>
                    <w:keepNext/>
                    <w:keepLines/>
                    <w:jc w:val="center"/>
                    <w:rPr>
                      <w:rFonts w:ascii="Arial" w:hAnsi="Arial"/>
                      <w:b/>
                      <w:sz w:val="18"/>
                    </w:rPr>
                  </w:pPr>
                  <w:r w:rsidRPr="00251821">
                    <w:rPr>
                      <w:rFonts w:ascii="Arial" w:hAnsi="Arial"/>
                      <w:b/>
                      <w:sz w:val="18"/>
                    </w:rPr>
                    <w:t>dmrs-AdditionalPosition</w:t>
                  </w:r>
                </w:p>
              </w:tc>
            </w:tr>
            <w:tr w:rsidR="00251821" w:rsidRPr="00251821" w14:paraId="3F37E079"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7381" w14:textId="77777777" w:rsidR="00251821" w:rsidRPr="00251821" w:rsidRDefault="00251821" w:rsidP="00CB197E">
                  <w:pPr>
                    <w:rPr>
                      <w:rFonts w:ascii="Arial" w:hAnsi="Arial"/>
                      <w:b/>
                      <w:sz w:val="18"/>
                    </w:rPr>
                  </w:pPr>
                </w:p>
              </w:tc>
              <w:tc>
                <w:tcPr>
                  <w:tcW w:w="851" w:type="dxa"/>
                  <w:tcBorders>
                    <w:top w:val="nil"/>
                    <w:left w:val="single" w:sz="4" w:space="0" w:color="auto"/>
                    <w:bottom w:val="single" w:sz="4" w:space="0" w:color="auto"/>
                    <w:right w:val="single" w:sz="4" w:space="0" w:color="auto"/>
                  </w:tcBorders>
                  <w:hideMark/>
                </w:tcPr>
                <w:p w14:paraId="41FDC42D" w14:textId="77777777" w:rsidR="00251821" w:rsidRPr="00251821" w:rsidRDefault="00251821" w:rsidP="00CB197E">
                  <w:pPr>
                    <w:keepNext/>
                    <w:keepLines/>
                    <w:jc w:val="center"/>
                    <w:rPr>
                      <w:rFonts w:ascii="Arial" w:hAnsi="Arial"/>
                      <w:b/>
                      <w:sz w:val="18"/>
                    </w:rPr>
                  </w:pPr>
                  <w:r w:rsidRPr="00251821">
                    <w:rPr>
                      <w:rFonts w:ascii="Arial" w:hAnsi="Arial"/>
                      <w:b/>
                      <w:sz w:val="18"/>
                    </w:rPr>
                    <w:t>0</w:t>
                  </w:r>
                </w:p>
              </w:tc>
              <w:tc>
                <w:tcPr>
                  <w:tcW w:w="851" w:type="dxa"/>
                  <w:tcBorders>
                    <w:top w:val="nil"/>
                    <w:left w:val="single" w:sz="4" w:space="0" w:color="auto"/>
                    <w:bottom w:val="single" w:sz="4" w:space="0" w:color="auto"/>
                    <w:right w:val="single" w:sz="4" w:space="0" w:color="auto"/>
                  </w:tcBorders>
                  <w:hideMark/>
                </w:tcPr>
                <w:p w14:paraId="3F5BC18C" w14:textId="77777777" w:rsidR="00251821" w:rsidRPr="00251821" w:rsidRDefault="00251821" w:rsidP="00CB197E">
                  <w:pPr>
                    <w:keepNext/>
                    <w:keepLines/>
                    <w:jc w:val="center"/>
                    <w:rPr>
                      <w:rFonts w:ascii="Arial" w:hAnsi="Arial"/>
                      <w:b/>
                      <w:sz w:val="18"/>
                    </w:rPr>
                  </w:pPr>
                  <w:r w:rsidRPr="00251821">
                    <w:rPr>
                      <w:rFonts w:ascii="Arial" w:hAnsi="Arial"/>
                      <w:b/>
                      <w:sz w:val="18"/>
                    </w:rPr>
                    <w:t>1</w:t>
                  </w:r>
                </w:p>
              </w:tc>
              <w:tc>
                <w:tcPr>
                  <w:tcW w:w="851" w:type="dxa"/>
                  <w:tcBorders>
                    <w:top w:val="nil"/>
                    <w:left w:val="single" w:sz="4" w:space="0" w:color="auto"/>
                    <w:bottom w:val="single" w:sz="4" w:space="0" w:color="auto"/>
                    <w:right w:val="single" w:sz="4" w:space="0" w:color="auto"/>
                  </w:tcBorders>
                  <w:hideMark/>
                </w:tcPr>
                <w:p w14:paraId="3E1CF179" w14:textId="77777777" w:rsidR="00251821" w:rsidRPr="00251821" w:rsidRDefault="00251821" w:rsidP="00CB197E">
                  <w:pPr>
                    <w:keepNext/>
                    <w:keepLines/>
                    <w:jc w:val="center"/>
                    <w:rPr>
                      <w:rFonts w:ascii="Arial" w:hAnsi="Arial"/>
                      <w:b/>
                      <w:sz w:val="18"/>
                    </w:rPr>
                  </w:pPr>
                  <w:r w:rsidRPr="00251821">
                    <w:rPr>
                      <w:rFonts w:ascii="Arial" w:hAnsi="Arial"/>
                      <w:b/>
                      <w:sz w:val="18"/>
                    </w:rPr>
                    <w:t>2</w:t>
                  </w:r>
                </w:p>
              </w:tc>
              <w:tc>
                <w:tcPr>
                  <w:tcW w:w="851" w:type="dxa"/>
                  <w:tcBorders>
                    <w:top w:val="nil"/>
                    <w:left w:val="single" w:sz="4" w:space="0" w:color="auto"/>
                    <w:bottom w:val="single" w:sz="4" w:space="0" w:color="auto"/>
                    <w:right w:val="single" w:sz="4" w:space="0" w:color="auto"/>
                  </w:tcBorders>
                  <w:hideMark/>
                </w:tcPr>
                <w:p w14:paraId="77689216" w14:textId="77777777" w:rsidR="00251821" w:rsidRPr="00251821" w:rsidRDefault="00251821" w:rsidP="00CB197E">
                  <w:pPr>
                    <w:keepNext/>
                    <w:keepLines/>
                    <w:jc w:val="center"/>
                    <w:rPr>
                      <w:rFonts w:ascii="Arial" w:hAnsi="Arial"/>
                      <w:b/>
                      <w:sz w:val="18"/>
                    </w:rPr>
                  </w:pPr>
                  <w:r w:rsidRPr="00251821">
                    <w:rPr>
                      <w:rFonts w:ascii="Arial" w:hAnsi="Arial"/>
                      <w:b/>
                      <w:sz w:val="18"/>
                    </w:rPr>
                    <w:t>0</w:t>
                  </w:r>
                </w:p>
              </w:tc>
              <w:tc>
                <w:tcPr>
                  <w:tcW w:w="851" w:type="dxa"/>
                  <w:tcBorders>
                    <w:top w:val="nil"/>
                    <w:left w:val="single" w:sz="4" w:space="0" w:color="auto"/>
                    <w:bottom w:val="single" w:sz="4" w:space="0" w:color="auto"/>
                    <w:right w:val="single" w:sz="4" w:space="0" w:color="auto"/>
                  </w:tcBorders>
                  <w:hideMark/>
                </w:tcPr>
                <w:p w14:paraId="01B93BC0" w14:textId="77777777" w:rsidR="00251821" w:rsidRPr="00251821" w:rsidRDefault="00251821" w:rsidP="00CB197E">
                  <w:pPr>
                    <w:keepNext/>
                    <w:keepLines/>
                    <w:jc w:val="center"/>
                    <w:rPr>
                      <w:rFonts w:ascii="Arial" w:hAnsi="Arial"/>
                      <w:b/>
                      <w:sz w:val="18"/>
                    </w:rPr>
                  </w:pPr>
                  <w:r w:rsidRPr="00251821">
                    <w:rPr>
                      <w:rFonts w:ascii="Arial" w:hAnsi="Arial"/>
                      <w:b/>
                      <w:sz w:val="18"/>
                    </w:rPr>
                    <w:t>1</w:t>
                  </w:r>
                </w:p>
              </w:tc>
              <w:tc>
                <w:tcPr>
                  <w:tcW w:w="851" w:type="dxa"/>
                  <w:tcBorders>
                    <w:top w:val="nil"/>
                    <w:left w:val="single" w:sz="4" w:space="0" w:color="auto"/>
                    <w:bottom w:val="single" w:sz="4" w:space="0" w:color="auto"/>
                    <w:right w:val="single" w:sz="4" w:space="0" w:color="auto"/>
                  </w:tcBorders>
                  <w:hideMark/>
                </w:tcPr>
                <w:p w14:paraId="3A35DBA3" w14:textId="77777777" w:rsidR="00251821" w:rsidRPr="00251821" w:rsidRDefault="00251821" w:rsidP="00CB197E">
                  <w:pPr>
                    <w:keepNext/>
                    <w:keepLines/>
                    <w:jc w:val="center"/>
                    <w:rPr>
                      <w:rFonts w:ascii="Arial" w:hAnsi="Arial"/>
                      <w:b/>
                      <w:sz w:val="18"/>
                    </w:rPr>
                  </w:pPr>
                  <w:r w:rsidRPr="00251821">
                    <w:rPr>
                      <w:rFonts w:ascii="Arial" w:hAnsi="Arial"/>
                      <w:b/>
                      <w:sz w:val="18"/>
                    </w:rPr>
                    <w:t>2</w:t>
                  </w:r>
                </w:p>
              </w:tc>
            </w:tr>
            <w:tr w:rsidR="00251821" w:rsidRPr="00251821" w14:paraId="27DF5886"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5DAB4DC8" w14:textId="77777777" w:rsidR="00251821" w:rsidRPr="00251821" w:rsidRDefault="00251821" w:rsidP="00DB2658">
                  <w:pPr>
                    <w:keepNext/>
                    <w:keepLines/>
                    <w:jc w:val="center"/>
                    <w:rPr>
                      <w:rFonts w:ascii="Arial" w:hAnsi="Arial"/>
                      <w:sz w:val="18"/>
                    </w:rPr>
                  </w:pPr>
                  <w:r w:rsidRPr="00251821">
                    <w:rPr>
                      <w:rFonts w:ascii="Arial" w:hAnsi="Arial"/>
                      <w:sz w:val="18"/>
                    </w:rPr>
                    <w:t>&lt;4</w:t>
                  </w:r>
                </w:p>
              </w:tc>
              <w:tc>
                <w:tcPr>
                  <w:tcW w:w="851" w:type="dxa"/>
                  <w:tcBorders>
                    <w:top w:val="single" w:sz="4" w:space="0" w:color="auto"/>
                    <w:left w:val="single" w:sz="4" w:space="0" w:color="auto"/>
                    <w:bottom w:val="single" w:sz="4" w:space="0" w:color="auto"/>
                    <w:right w:val="single" w:sz="4" w:space="0" w:color="auto"/>
                  </w:tcBorders>
                </w:tcPr>
                <w:p w14:paraId="0FD3EAF8" w14:textId="77777777" w:rsidR="00251821" w:rsidRPr="00251821" w:rsidRDefault="00251821" w:rsidP="00DB2658">
                  <w:pPr>
                    <w:keepNext/>
                    <w:keepLines/>
                    <w:jc w:val="center"/>
                    <w:rPr>
                      <w:rFonts w:ascii="Arial" w:eastAsia="Yu Mincho" w:hAnsi="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4FE9E27E"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AA2D0AA"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2C023E" w14:textId="77777777" w:rsidR="00251821" w:rsidRPr="00251821" w:rsidRDefault="00251821" w:rsidP="00DB2658">
                  <w:pPr>
                    <w:keepNext/>
                    <w:keepLines/>
                    <w:jc w:val="center"/>
                    <w:rPr>
                      <w:rFonts w:ascii="Arial" w:eastAsia="Yu Mincho"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5EE15C"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4F86248" w14:textId="77777777" w:rsidR="00251821" w:rsidRPr="00251821" w:rsidRDefault="00251821" w:rsidP="0005708E">
                  <w:pPr>
                    <w:keepNext/>
                    <w:keepLines/>
                    <w:jc w:val="center"/>
                    <w:rPr>
                      <w:rFonts w:ascii="Arial" w:hAnsi="Arial"/>
                      <w:sz w:val="18"/>
                      <w:szCs w:val="18"/>
                    </w:rPr>
                  </w:pPr>
                </w:p>
              </w:tc>
            </w:tr>
            <w:tr w:rsidR="00251821" w:rsidRPr="00251821" w14:paraId="7CDCAE39"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3E53C387" w14:textId="77777777" w:rsidR="00251821" w:rsidRPr="00251821" w:rsidRDefault="00251821" w:rsidP="00DB2658">
                  <w:pPr>
                    <w:keepNext/>
                    <w:keepLines/>
                    <w:jc w:val="center"/>
                    <w:rPr>
                      <w:rFonts w:ascii="Arial" w:hAnsi="Arial"/>
                      <w:sz w:val="18"/>
                    </w:rPr>
                  </w:pPr>
                  <w:r w:rsidRPr="0025182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E80EA63"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3EE25516">
                      <v:shape id="_x0000_i1085" type="#_x0000_t75" style="width:9pt;height:16.3pt" o:ole="">
                        <v:imagedata r:id="rId20" o:title=""/>
                      </v:shape>
                      <o:OLEObject Type="Embed" ProgID="Equation.3" ShapeID="_x0000_i1085" DrawAspect="Content" ObjectID="_1634728593" r:id="rId79"/>
                    </w:object>
                  </w:r>
                </w:p>
              </w:tc>
              <w:tc>
                <w:tcPr>
                  <w:tcW w:w="851" w:type="dxa"/>
                  <w:tcBorders>
                    <w:top w:val="single" w:sz="4" w:space="0" w:color="auto"/>
                    <w:left w:val="single" w:sz="4" w:space="0" w:color="auto"/>
                    <w:bottom w:val="single" w:sz="4" w:space="0" w:color="auto"/>
                    <w:right w:val="single" w:sz="4" w:space="0" w:color="auto"/>
                  </w:tcBorders>
                  <w:hideMark/>
                </w:tcPr>
                <w:p w14:paraId="22AC915D"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BE711A0">
                      <v:shape id="_x0000_i1086" type="#_x0000_t75" style="width:9pt;height:16.3pt" o:ole="">
                        <v:imagedata r:id="rId20" o:title=""/>
                      </v:shape>
                      <o:OLEObject Type="Embed" ProgID="Equation.3" ShapeID="_x0000_i1086" DrawAspect="Content" ObjectID="_1634728594" r:id="rId80"/>
                    </w:object>
                  </w:r>
                </w:p>
              </w:tc>
              <w:tc>
                <w:tcPr>
                  <w:tcW w:w="851" w:type="dxa"/>
                  <w:tcBorders>
                    <w:top w:val="single" w:sz="4" w:space="0" w:color="auto"/>
                    <w:left w:val="single" w:sz="4" w:space="0" w:color="auto"/>
                    <w:bottom w:val="single" w:sz="4" w:space="0" w:color="auto"/>
                    <w:right w:val="single" w:sz="4" w:space="0" w:color="auto"/>
                  </w:tcBorders>
                </w:tcPr>
                <w:p w14:paraId="51515581"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4A22F6" w14:textId="77777777" w:rsidR="00251821" w:rsidRPr="00251821" w:rsidRDefault="00251821" w:rsidP="00DB2658">
                  <w:pPr>
                    <w:keepNext/>
                    <w:keepLines/>
                    <w:jc w:val="center"/>
                    <w:rPr>
                      <w:rFonts w:ascii="Arial" w:eastAsia="Yu Mincho"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2BFCD4"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58F131B" w14:textId="77777777" w:rsidR="00251821" w:rsidRPr="00251821" w:rsidRDefault="00251821" w:rsidP="0005708E">
                  <w:pPr>
                    <w:keepNext/>
                    <w:keepLines/>
                    <w:jc w:val="center"/>
                    <w:rPr>
                      <w:rFonts w:ascii="Arial" w:hAnsi="Arial"/>
                      <w:sz w:val="18"/>
                      <w:szCs w:val="18"/>
                    </w:rPr>
                  </w:pPr>
                </w:p>
              </w:tc>
            </w:tr>
            <w:tr w:rsidR="00251821" w:rsidRPr="00251821" w14:paraId="200630A7"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3914C27C" w14:textId="77777777" w:rsidR="00251821" w:rsidRPr="00251821" w:rsidRDefault="00251821" w:rsidP="00DB2658">
                  <w:pPr>
                    <w:keepNext/>
                    <w:keepLines/>
                    <w:jc w:val="center"/>
                    <w:rPr>
                      <w:rFonts w:ascii="Arial" w:hAnsi="Arial"/>
                      <w:sz w:val="18"/>
                    </w:rPr>
                  </w:pPr>
                  <w:r w:rsidRPr="00251821">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6C75D999"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3A9BD86E">
                      <v:shape id="_x0000_i1087" type="#_x0000_t75" style="width:9pt;height:16.3pt" o:ole="">
                        <v:imagedata r:id="rId20" o:title=""/>
                      </v:shape>
                      <o:OLEObject Type="Embed" ProgID="Equation.3" ShapeID="_x0000_i1087" DrawAspect="Content" ObjectID="_1634728595" r:id="rId81"/>
                    </w:object>
                  </w:r>
                </w:p>
              </w:tc>
              <w:tc>
                <w:tcPr>
                  <w:tcW w:w="851" w:type="dxa"/>
                  <w:tcBorders>
                    <w:top w:val="single" w:sz="4" w:space="0" w:color="auto"/>
                    <w:left w:val="single" w:sz="4" w:space="0" w:color="auto"/>
                    <w:bottom w:val="single" w:sz="4" w:space="0" w:color="auto"/>
                    <w:right w:val="single" w:sz="4" w:space="0" w:color="auto"/>
                  </w:tcBorders>
                  <w:hideMark/>
                </w:tcPr>
                <w:p w14:paraId="0029B88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7CABB5F">
                      <v:shape id="_x0000_i1088" type="#_x0000_t75" style="width:9pt;height:16.3pt" o:ole="">
                        <v:imagedata r:id="rId20" o:title=""/>
                      </v:shape>
                      <o:OLEObject Type="Embed" ProgID="Equation.3" ShapeID="_x0000_i1088" DrawAspect="Content" ObjectID="_1634728596" r:id="rId82"/>
                    </w:object>
                  </w:r>
                </w:p>
              </w:tc>
              <w:tc>
                <w:tcPr>
                  <w:tcW w:w="851" w:type="dxa"/>
                  <w:tcBorders>
                    <w:top w:val="single" w:sz="4" w:space="0" w:color="auto"/>
                    <w:left w:val="single" w:sz="4" w:space="0" w:color="auto"/>
                    <w:bottom w:val="single" w:sz="4" w:space="0" w:color="auto"/>
                    <w:right w:val="single" w:sz="4" w:space="0" w:color="auto"/>
                  </w:tcBorders>
                </w:tcPr>
                <w:p w14:paraId="5B989C8F"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8BAF66A" w14:textId="77777777" w:rsidR="00251821" w:rsidRPr="00251821" w:rsidRDefault="00251821" w:rsidP="00DB2658">
                  <w:pPr>
                    <w:keepNext/>
                    <w:keepLines/>
                    <w:jc w:val="center"/>
                    <w:rPr>
                      <w:rFonts w:ascii="Arial" w:eastAsia="Yu Mincho" w:hAnsi="Arial"/>
                      <w:sz w:val="18"/>
                      <w:szCs w:val="18"/>
                    </w:rPr>
                  </w:pPr>
                  <w:r w:rsidRPr="00251821">
                    <w:rPr>
                      <w:rFonts w:ascii="Arial" w:hAnsi="Arial"/>
                      <w:noProof/>
                      <w:position w:val="-10"/>
                      <w:sz w:val="18"/>
                      <w:szCs w:val="18"/>
                    </w:rPr>
                    <w:drawing>
                      <wp:inline distT="0" distB="0" distL="0" distR="0" wp14:anchorId="49CB49DD" wp14:editId="16DD708A">
                        <wp:extent cx="97155" cy="180340"/>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78C07EB"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8331C06" wp14:editId="6BC6ED5D">
                        <wp:extent cx="97155" cy="180340"/>
                        <wp:effectExtent l="0" t="0" r="0" b="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21879D2" w14:textId="77777777" w:rsidR="00251821" w:rsidRPr="00251821" w:rsidRDefault="00251821" w:rsidP="00DB2658">
                  <w:pPr>
                    <w:keepNext/>
                    <w:keepLines/>
                    <w:jc w:val="center"/>
                    <w:rPr>
                      <w:rFonts w:ascii="Arial" w:hAnsi="Arial"/>
                      <w:sz w:val="18"/>
                      <w:szCs w:val="18"/>
                    </w:rPr>
                  </w:pPr>
                </w:p>
              </w:tc>
            </w:tr>
            <w:tr w:rsidR="00251821" w:rsidRPr="00251821" w14:paraId="0A9D184C"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28853576" w14:textId="77777777" w:rsidR="00251821" w:rsidRPr="00251821" w:rsidRDefault="00251821" w:rsidP="00DB2658">
                  <w:pPr>
                    <w:keepNext/>
                    <w:keepLines/>
                    <w:jc w:val="center"/>
                    <w:rPr>
                      <w:rFonts w:ascii="Arial" w:hAnsi="Arial"/>
                      <w:sz w:val="18"/>
                    </w:rPr>
                  </w:pPr>
                  <w:r w:rsidRPr="0025182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1960AB96"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0782E2F6">
                      <v:shape id="_x0000_i1089" type="#_x0000_t75" style="width:9pt;height:16.3pt" o:ole="">
                        <v:imagedata r:id="rId20" o:title=""/>
                      </v:shape>
                      <o:OLEObject Type="Embed" ProgID="Equation.3" ShapeID="_x0000_i1089" DrawAspect="Content" ObjectID="_1634728597" r:id="rId83"/>
                    </w:object>
                  </w:r>
                </w:p>
              </w:tc>
              <w:tc>
                <w:tcPr>
                  <w:tcW w:w="851" w:type="dxa"/>
                  <w:tcBorders>
                    <w:top w:val="single" w:sz="4" w:space="0" w:color="auto"/>
                    <w:left w:val="single" w:sz="4" w:space="0" w:color="auto"/>
                    <w:bottom w:val="single" w:sz="4" w:space="0" w:color="auto"/>
                    <w:right w:val="single" w:sz="4" w:space="0" w:color="auto"/>
                  </w:tcBorders>
                  <w:hideMark/>
                </w:tcPr>
                <w:p w14:paraId="2CA36A6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349BABA">
                      <v:shape id="_x0000_i1090" type="#_x0000_t75" style="width:9pt;height:16.3pt" o:ole="">
                        <v:imagedata r:id="rId20" o:title=""/>
                      </v:shape>
                      <o:OLEObject Type="Embed" ProgID="Equation.3" ShapeID="_x0000_i1090" DrawAspect="Content" ObjectID="_1634728598" r:id="rId84"/>
                    </w:object>
                  </w:r>
                </w:p>
              </w:tc>
              <w:tc>
                <w:tcPr>
                  <w:tcW w:w="851" w:type="dxa"/>
                  <w:tcBorders>
                    <w:top w:val="single" w:sz="4" w:space="0" w:color="auto"/>
                    <w:left w:val="single" w:sz="4" w:space="0" w:color="auto"/>
                    <w:bottom w:val="single" w:sz="4" w:space="0" w:color="auto"/>
                    <w:right w:val="single" w:sz="4" w:space="0" w:color="auto"/>
                  </w:tcBorders>
                </w:tcPr>
                <w:p w14:paraId="143644F2"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00FFA2A1" w14:textId="77777777" w:rsidR="00251821" w:rsidRPr="00251821" w:rsidRDefault="00251821" w:rsidP="00DB2658">
                  <w:pPr>
                    <w:keepNext/>
                    <w:keepLines/>
                    <w:jc w:val="center"/>
                    <w:rPr>
                      <w:rFonts w:ascii="Arial" w:eastAsia="Yu Mincho" w:hAnsi="Arial"/>
                      <w:sz w:val="18"/>
                      <w:szCs w:val="18"/>
                    </w:rPr>
                  </w:pPr>
                  <w:r w:rsidRPr="00251821">
                    <w:rPr>
                      <w:rFonts w:ascii="Arial" w:hAnsi="Arial"/>
                      <w:noProof/>
                      <w:position w:val="-10"/>
                      <w:sz w:val="18"/>
                      <w:szCs w:val="18"/>
                    </w:rPr>
                    <w:drawing>
                      <wp:inline distT="0" distB="0" distL="0" distR="0" wp14:anchorId="498D0B29" wp14:editId="42F1FFD5">
                        <wp:extent cx="145415" cy="200660"/>
                        <wp:effectExtent l="0" t="0" r="6985" b="8890"/>
                        <wp:docPr id="2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5415" cy="20066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A0E9C21"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58F06359" wp14:editId="1920266D">
                        <wp:extent cx="145415" cy="200660"/>
                        <wp:effectExtent l="0" t="0" r="6985" b="8890"/>
                        <wp:docPr id="2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5415" cy="20066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4D888D2F" w14:textId="77777777" w:rsidR="00251821" w:rsidRPr="00251821" w:rsidRDefault="00251821" w:rsidP="00DB2658">
                  <w:pPr>
                    <w:keepNext/>
                    <w:keepLines/>
                    <w:jc w:val="center"/>
                    <w:rPr>
                      <w:rFonts w:ascii="Arial" w:hAnsi="Arial"/>
                      <w:sz w:val="18"/>
                      <w:szCs w:val="18"/>
                    </w:rPr>
                  </w:pPr>
                </w:p>
              </w:tc>
            </w:tr>
            <w:tr w:rsidR="00251821" w:rsidRPr="00251821" w14:paraId="453AB1C0"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47B9D561" w14:textId="77777777" w:rsidR="00251821" w:rsidRPr="00251821" w:rsidRDefault="00251821" w:rsidP="00DB2658">
                  <w:pPr>
                    <w:keepNext/>
                    <w:keepLines/>
                    <w:jc w:val="center"/>
                    <w:rPr>
                      <w:rFonts w:ascii="Arial" w:hAnsi="Arial"/>
                      <w:sz w:val="18"/>
                    </w:rPr>
                  </w:pPr>
                  <w:r w:rsidRPr="00251821">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F3BC5CD"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E8D56B8">
                      <v:shape id="_x0000_i1091" type="#_x0000_t75" style="width:9pt;height:16.3pt" o:ole="">
                        <v:imagedata r:id="rId20" o:title=""/>
                      </v:shape>
                      <o:OLEObject Type="Embed" ProgID="Equation.3" ShapeID="_x0000_i1091" DrawAspect="Content" ObjectID="_1634728599" r:id="rId85"/>
                    </w:object>
                  </w:r>
                </w:p>
              </w:tc>
              <w:tc>
                <w:tcPr>
                  <w:tcW w:w="851" w:type="dxa"/>
                  <w:tcBorders>
                    <w:top w:val="single" w:sz="4" w:space="0" w:color="auto"/>
                    <w:left w:val="single" w:sz="4" w:space="0" w:color="auto"/>
                    <w:bottom w:val="single" w:sz="4" w:space="0" w:color="auto"/>
                    <w:right w:val="single" w:sz="4" w:space="0" w:color="auto"/>
                  </w:tcBorders>
                  <w:hideMark/>
                </w:tcPr>
                <w:p w14:paraId="732021F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F44D94B">
                      <v:shape id="_x0000_i1092" type="#_x0000_t75" style="width:9pt;height:16.3pt" o:ole="">
                        <v:imagedata r:id="rId20" o:title=""/>
                      </v:shape>
                      <o:OLEObject Type="Embed" ProgID="Equation.3" ShapeID="_x0000_i1092" DrawAspect="Content" ObjectID="_1634728600" r:id="rId86"/>
                    </w:object>
                  </w:r>
                </w:p>
              </w:tc>
              <w:tc>
                <w:tcPr>
                  <w:tcW w:w="851" w:type="dxa"/>
                  <w:tcBorders>
                    <w:top w:val="single" w:sz="4" w:space="0" w:color="auto"/>
                    <w:left w:val="single" w:sz="4" w:space="0" w:color="auto"/>
                    <w:bottom w:val="single" w:sz="4" w:space="0" w:color="auto"/>
                    <w:right w:val="single" w:sz="4" w:space="0" w:color="auto"/>
                  </w:tcBorders>
                </w:tcPr>
                <w:p w14:paraId="32C3C810"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1BDEE4A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F50BCE1">
                      <v:shape id="_x0000_i1093" type="#_x0000_t75" style="width:9pt;height:16.3pt" o:ole="">
                        <v:imagedata r:id="rId20" o:title=""/>
                      </v:shape>
                      <o:OLEObject Type="Embed" ProgID="Equation.3" ShapeID="_x0000_i1093" DrawAspect="Content" ObjectID="_1634728601" r:id="rId87"/>
                    </w:object>
                  </w:r>
                </w:p>
              </w:tc>
              <w:tc>
                <w:tcPr>
                  <w:tcW w:w="851" w:type="dxa"/>
                  <w:tcBorders>
                    <w:top w:val="single" w:sz="4" w:space="0" w:color="auto"/>
                    <w:left w:val="single" w:sz="4" w:space="0" w:color="auto"/>
                    <w:bottom w:val="single" w:sz="4" w:space="0" w:color="auto"/>
                    <w:right w:val="single" w:sz="4" w:space="0" w:color="auto"/>
                  </w:tcBorders>
                  <w:hideMark/>
                </w:tcPr>
                <w:p w14:paraId="50F6C88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76AEB24">
                      <v:shape id="_x0000_i1094" type="#_x0000_t75" style="width:9pt;height:16.3pt" o:ole="">
                        <v:imagedata r:id="rId20" o:title=""/>
                      </v:shape>
                      <o:OLEObject Type="Embed" ProgID="Equation.3" ShapeID="_x0000_i1094" DrawAspect="Content" ObjectID="_1634728602" r:id="rId88"/>
                    </w:object>
                  </w:r>
                </w:p>
              </w:tc>
              <w:tc>
                <w:tcPr>
                  <w:tcW w:w="851" w:type="dxa"/>
                  <w:tcBorders>
                    <w:top w:val="single" w:sz="4" w:space="0" w:color="auto"/>
                    <w:left w:val="single" w:sz="4" w:space="0" w:color="auto"/>
                    <w:bottom w:val="single" w:sz="4" w:space="0" w:color="auto"/>
                    <w:right w:val="single" w:sz="4" w:space="0" w:color="auto"/>
                  </w:tcBorders>
                </w:tcPr>
                <w:p w14:paraId="26772E5F" w14:textId="77777777" w:rsidR="00251821" w:rsidRPr="00251821" w:rsidRDefault="00251821" w:rsidP="0005708E">
                  <w:pPr>
                    <w:keepNext/>
                    <w:keepLines/>
                    <w:jc w:val="center"/>
                    <w:rPr>
                      <w:rFonts w:ascii="Arial" w:hAnsi="Arial"/>
                      <w:sz w:val="18"/>
                      <w:szCs w:val="18"/>
                    </w:rPr>
                  </w:pPr>
                </w:p>
              </w:tc>
            </w:tr>
            <w:tr w:rsidR="00251821" w:rsidRPr="00251821" w14:paraId="4DB514AF"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77C1F846" w14:textId="77777777" w:rsidR="00251821" w:rsidRPr="00251821" w:rsidRDefault="00251821" w:rsidP="00DB2658">
                  <w:pPr>
                    <w:keepNext/>
                    <w:keepLines/>
                    <w:jc w:val="center"/>
                    <w:rPr>
                      <w:rFonts w:ascii="Arial" w:hAnsi="Arial"/>
                      <w:sz w:val="18"/>
                    </w:rPr>
                  </w:pPr>
                  <w:r w:rsidRPr="0025182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75E9A5A"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BCB9108">
                      <v:shape id="_x0000_i1095" type="#_x0000_t75" style="width:9pt;height:16.3pt" o:ole="">
                        <v:imagedata r:id="rId20" o:title=""/>
                      </v:shape>
                      <o:OLEObject Type="Embed" ProgID="Equation.3" ShapeID="_x0000_i1095" DrawAspect="Content" ObjectID="_1634728603" r:id="rId89"/>
                    </w:object>
                  </w:r>
                </w:p>
              </w:tc>
              <w:tc>
                <w:tcPr>
                  <w:tcW w:w="851" w:type="dxa"/>
                  <w:tcBorders>
                    <w:top w:val="single" w:sz="4" w:space="0" w:color="auto"/>
                    <w:left w:val="single" w:sz="4" w:space="0" w:color="auto"/>
                    <w:bottom w:val="single" w:sz="4" w:space="0" w:color="auto"/>
                    <w:right w:val="single" w:sz="4" w:space="0" w:color="auto"/>
                  </w:tcBorders>
                  <w:hideMark/>
                </w:tcPr>
                <w:p w14:paraId="33545187"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B87A849">
                      <v:shape id="_x0000_i1096" type="#_x0000_t75" style="width:9pt;height:16.3pt" o:ole="">
                        <v:imagedata r:id="rId20" o:title=""/>
                      </v:shape>
                      <o:OLEObject Type="Embed" ProgID="Equation.3" ShapeID="_x0000_i1096" DrawAspect="Content" ObjectID="_1634728604" r:id="rId90"/>
                    </w:object>
                  </w:r>
                </w:p>
              </w:tc>
              <w:tc>
                <w:tcPr>
                  <w:tcW w:w="851" w:type="dxa"/>
                  <w:tcBorders>
                    <w:top w:val="single" w:sz="4" w:space="0" w:color="auto"/>
                    <w:left w:val="single" w:sz="4" w:space="0" w:color="auto"/>
                    <w:bottom w:val="single" w:sz="4" w:space="0" w:color="auto"/>
                    <w:right w:val="single" w:sz="4" w:space="0" w:color="auto"/>
                  </w:tcBorders>
                </w:tcPr>
                <w:p w14:paraId="44C871EC"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58C74852"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16ED5F4" wp14:editId="1412A784">
                        <wp:extent cx="97155" cy="180340"/>
                        <wp:effectExtent l="0" t="0" r="0" b="0"/>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702E469B"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AB13D6F" wp14:editId="6C8E9F6E">
                        <wp:extent cx="97155" cy="180340"/>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5</w:t>
                  </w:r>
                </w:p>
              </w:tc>
              <w:tc>
                <w:tcPr>
                  <w:tcW w:w="851" w:type="dxa"/>
                  <w:tcBorders>
                    <w:top w:val="single" w:sz="4" w:space="0" w:color="auto"/>
                    <w:left w:val="single" w:sz="4" w:space="0" w:color="auto"/>
                    <w:bottom w:val="single" w:sz="4" w:space="0" w:color="auto"/>
                    <w:right w:val="single" w:sz="4" w:space="0" w:color="auto"/>
                  </w:tcBorders>
                </w:tcPr>
                <w:p w14:paraId="3A5799D3" w14:textId="77777777" w:rsidR="00251821" w:rsidRPr="00251821" w:rsidRDefault="00251821" w:rsidP="00DB2658">
                  <w:pPr>
                    <w:keepNext/>
                    <w:keepLines/>
                    <w:jc w:val="center"/>
                    <w:rPr>
                      <w:rFonts w:ascii="Arial" w:hAnsi="Arial"/>
                      <w:sz w:val="18"/>
                      <w:szCs w:val="18"/>
                    </w:rPr>
                  </w:pPr>
                </w:p>
              </w:tc>
            </w:tr>
            <w:tr w:rsidR="00D57B44" w:rsidRPr="00251821" w14:paraId="25EEBD43" w14:textId="77777777" w:rsidTr="00CB197E">
              <w:trPr>
                <w:jc w:val="center"/>
              </w:trPr>
              <w:tc>
                <w:tcPr>
                  <w:tcW w:w="2047" w:type="dxa"/>
                  <w:tcBorders>
                    <w:top w:val="single" w:sz="4" w:space="0" w:color="auto"/>
                    <w:left w:val="single" w:sz="4" w:space="0" w:color="auto"/>
                    <w:bottom w:val="single" w:sz="4" w:space="0" w:color="auto"/>
                    <w:right w:val="single" w:sz="4" w:space="0" w:color="auto"/>
                  </w:tcBorders>
                  <w:hideMark/>
                </w:tcPr>
                <w:p w14:paraId="36E76008" w14:textId="77777777" w:rsidR="00D57B44" w:rsidRPr="00251821" w:rsidRDefault="00D57B44" w:rsidP="00DB2658">
                  <w:pPr>
                    <w:keepNext/>
                    <w:keepLines/>
                    <w:jc w:val="center"/>
                    <w:rPr>
                      <w:rFonts w:ascii="Arial" w:hAnsi="Arial"/>
                      <w:sz w:val="18"/>
                    </w:rPr>
                  </w:pPr>
                  <w:r w:rsidRPr="00251821">
                    <w:rPr>
                      <w:rFonts w:ascii="Arial"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655BE04E"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E4FE431">
                      <v:shape id="_x0000_i1097" type="#_x0000_t75" style="width:9pt;height:16.3pt" o:ole="">
                        <v:imagedata r:id="rId20" o:title=""/>
                      </v:shape>
                      <o:OLEObject Type="Embed" ProgID="Equation.3" ShapeID="_x0000_i1097" DrawAspect="Content" ObjectID="_1634728605" r:id="rId91"/>
                    </w:object>
                  </w:r>
                </w:p>
              </w:tc>
              <w:tc>
                <w:tcPr>
                  <w:tcW w:w="851" w:type="dxa"/>
                  <w:tcBorders>
                    <w:top w:val="single" w:sz="4" w:space="0" w:color="auto"/>
                    <w:left w:val="single" w:sz="4" w:space="0" w:color="auto"/>
                    <w:bottom w:val="single" w:sz="4" w:space="0" w:color="auto"/>
                    <w:right w:val="single" w:sz="4" w:space="0" w:color="auto"/>
                  </w:tcBorders>
                  <w:hideMark/>
                </w:tcPr>
                <w:p w14:paraId="10B90288"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9F20663">
                      <v:shape id="_x0000_i1098" type="#_x0000_t75" style="width:9pt;height:16.3pt" o:ole="">
                        <v:imagedata r:id="rId20" o:title=""/>
                      </v:shape>
                      <o:OLEObject Type="Embed" ProgID="Equation.3" ShapeID="_x0000_i1098" DrawAspect="Content" ObjectID="_1634728606" r:id="rId92"/>
                    </w:object>
                  </w:r>
                </w:p>
              </w:tc>
              <w:tc>
                <w:tcPr>
                  <w:tcW w:w="851" w:type="dxa"/>
                  <w:tcBorders>
                    <w:top w:val="single" w:sz="4" w:space="0" w:color="auto"/>
                    <w:left w:val="single" w:sz="4" w:space="0" w:color="auto"/>
                    <w:bottom w:val="single" w:sz="4" w:space="0" w:color="auto"/>
                    <w:right w:val="single" w:sz="4" w:space="0" w:color="auto"/>
                  </w:tcBorders>
                </w:tcPr>
                <w:p w14:paraId="24A2C7FE" w14:textId="77777777" w:rsidR="00D57B44" w:rsidRPr="00251821" w:rsidRDefault="00D57B44"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DF11AD" w14:textId="73A4B247"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05849BA" wp14:editId="261128D5">
                        <wp:extent cx="97155" cy="18034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B5C860" w14:textId="7B58390F"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291F1CF" wp14:editId="33F64155">
                        <wp:extent cx="97155" cy="18034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5</w:t>
                  </w:r>
                </w:p>
              </w:tc>
              <w:tc>
                <w:tcPr>
                  <w:tcW w:w="851" w:type="dxa"/>
                  <w:tcBorders>
                    <w:top w:val="single" w:sz="4" w:space="0" w:color="auto"/>
                    <w:left w:val="single" w:sz="4" w:space="0" w:color="auto"/>
                    <w:bottom w:val="single" w:sz="4" w:space="0" w:color="auto"/>
                    <w:right w:val="single" w:sz="4" w:space="0" w:color="auto"/>
                  </w:tcBorders>
                </w:tcPr>
                <w:p w14:paraId="2BD5035C" w14:textId="77777777" w:rsidR="00D57B44" w:rsidRPr="00251821" w:rsidRDefault="00D57B44" w:rsidP="00DB2658">
                  <w:pPr>
                    <w:keepNext/>
                    <w:keepLines/>
                    <w:jc w:val="center"/>
                    <w:rPr>
                      <w:rFonts w:ascii="Arial" w:hAnsi="Arial"/>
                      <w:sz w:val="18"/>
                      <w:szCs w:val="18"/>
                    </w:rPr>
                  </w:pPr>
                </w:p>
              </w:tc>
            </w:tr>
            <w:tr w:rsidR="00D57B44" w:rsidRPr="00251821" w14:paraId="63255879" w14:textId="77777777" w:rsidTr="00CB197E">
              <w:trPr>
                <w:jc w:val="center"/>
              </w:trPr>
              <w:tc>
                <w:tcPr>
                  <w:tcW w:w="2047" w:type="dxa"/>
                  <w:tcBorders>
                    <w:top w:val="single" w:sz="4" w:space="0" w:color="auto"/>
                    <w:left w:val="single" w:sz="4" w:space="0" w:color="auto"/>
                    <w:bottom w:val="single" w:sz="4" w:space="0" w:color="auto"/>
                    <w:right w:val="single" w:sz="4" w:space="0" w:color="auto"/>
                  </w:tcBorders>
                  <w:hideMark/>
                </w:tcPr>
                <w:p w14:paraId="52DF68D6" w14:textId="77777777" w:rsidR="00D57B44" w:rsidRPr="00251821" w:rsidRDefault="00D57B44" w:rsidP="00DB2658">
                  <w:pPr>
                    <w:keepNext/>
                    <w:keepLines/>
                    <w:jc w:val="center"/>
                    <w:rPr>
                      <w:rFonts w:ascii="Arial" w:hAnsi="Arial"/>
                      <w:sz w:val="18"/>
                    </w:rPr>
                  </w:pPr>
                  <w:r w:rsidRPr="0025182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5FC5CE1B"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4EBF4F6">
                      <v:shape id="_x0000_i1099" type="#_x0000_t75" style="width:9pt;height:16.3pt" o:ole="">
                        <v:imagedata r:id="rId20" o:title=""/>
                      </v:shape>
                      <o:OLEObject Type="Embed" ProgID="Equation.3" ShapeID="_x0000_i1099" DrawAspect="Content" ObjectID="_1634728607" r:id="rId93"/>
                    </w:object>
                  </w:r>
                </w:p>
              </w:tc>
              <w:tc>
                <w:tcPr>
                  <w:tcW w:w="851" w:type="dxa"/>
                  <w:tcBorders>
                    <w:top w:val="single" w:sz="4" w:space="0" w:color="auto"/>
                    <w:left w:val="single" w:sz="4" w:space="0" w:color="auto"/>
                    <w:bottom w:val="single" w:sz="4" w:space="0" w:color="auto"/>
                    <w:right w:val="single" w:sz="4" w:space="0" w:color="auto"/>
                  </w:tcBorders>
                  <w:hideMark/>
                </w:tcPr>
                <w:p w14:paraId="4280BF05"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B21318B">
                      <v:shape id="_x0000_i1100" type="#_x0000_t75" style="width:9pt;height:16.3pt" o:ole="">
                        <v:imagedata r:id="rId20" o:title=""/>
                      </v:shape>
                      <o:OLEObject Type="Embed" ProgID="Equation.3" ShapeID="_x0000_i1100" DrawAspect="Content" ObjectID="_1634728608" r:id="rId94"/>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602CFB28" w14:textId="77777777" w:rsidR="00D57B44" w:rsidRPr="00251821" w:rsidRDefault="00D57B44"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C0D4A" w14:textId="5CB819D7"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DC44418" wp14:editId="0D751148">
                        <wp:extent cx="97155" cy="18034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86AEF8" w14:textId="5F24B259"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DDAED35" wp14:editId="72CABACE">
                        <wp:extent cx="97155" cy="18034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tcPr>
                <w:p w14:paraId="38F326D4" w14:textId="77777777" w:rsidR="00D57B44" w:rsidRPr="00251821" w:rsidRDefault="00D57B44" w:rsidP="00DB2658">
                  <w:pPr>
                    <w:keepNext/>
                    <w:keepLines/>
                    <w:jc w:val="center"/>
                    <w:rPr>
                      <w:rFonts w:ascii="Arial" w:hAnsi="Arial"/>
                      <w:sz w:val="18"/>
                      <w:szCs w:val="18"/>
                    </w:rPr>
                  </w:pPr>
                </w:p>
              </w:tc>
            </w:tr>
            <w:tr w:rsidR="00251821" w:rsidRPr="00251821" w14:paraId="5A282959"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2AC00269" w14:textId="77777777" w:rsidR="00251821" w:rsidRPr="00251821" w:rsidRDefault="00251821" w:rsidP="00DB2658">
                  <w:pPr>
                    <w:keepNext/>
                    <w:keepLines/>
                    <w:jc w:val="center"/>
                    <w:rPr>
                      <w:rFonts w:ascii="Arial" w:hAnsi="Arial"/>
                      <w:sz w:val="18"/>
                    </w:rPr>
                  </w:pPr>
                  <w:r w:rsidRPr="00251821">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2329319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37699D4">
                      <v:shape id="_x0000_i1101" type="#_x0000_t75" style="width:9pt;height:16.3pt" o:ole="">
                        <v:imagedata r:id="rId20" o:title=""/>
                      </v:shape>
                      <o:OLEObject Type="Embed" ProgID="Equation.3" ShapeID="_x0000_i1101" DrawAspect="Content" ObjectID="_1634728609" r:id="rId95"/>
                    </w:object>
                  </w:r>
                </w:p>
              </w:tc>
              <w:tc>
                <w:tcPr>
                  <w:tcW w:w="851" w:type="dxa"/>
                  <w:tcBorders>
                    <w:top w:val="single" w:sz="4" w:space="0" w:color="auto"/>
                    <w:left w:val="single" w:sz="4" w:space="0" w:color="auto"/>
                    <w:bottom w:val="single" w:sz="4" w:space="0" w:color="auto"/>
                    <w:right w:val="single" w:sz="4" w:space="0" w:color="auto"/>
                  </w:tcBorders>
                  <w:hideMark/>
                </w:tcPr>
                <w:p w14:paraId="7E5F3CB9"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7F84F6E">
                      <v:shape id="_x0000_i1102" type="#_x0000_t75" style="width:9pt;height:16.3pt" o:ole="">
                        <v:imagedata r:id="rId20" o:title=""/>
                      </v:shape>
                      <o:OLEObject Type="Embed" ProgID="Equation.3" ShapeID="_x0000_i1102" DrawAspect="Content" ObjectID="_1634728610" r:id="rId96"/>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26A97620"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4E257946"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368727D3" wp14:editId="7A0F9840">
                        <wp:extent cx="97155" cy="180340"/>
                        <wp:effectExtent l="0" t="0" r="0" b="0"/>
                        <wp:docPr id="236" name="図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EAA4F7E"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350BDD8" wp14:editId="0B8FE535">
                        <wp:extent cx="97155" cy="180340"/>
                        <wp:effectExtent l="0" t="0" r="0" b="0"/>
                        <wp:docPr id="237" name="図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tcPr>
                <w:p w14:paraId="36B85F2E" w14:textId="77777777" w:rsidR="00251821" w:rsidRPr="00251821" w:rsidRDefault="00251821" w:rsidP="00DB2658">
                  <w:pPr>
                    <w:keepNext/>
                    <w:keepLines/>
                    <w:jc w:val="center"/>
                    <w:rPr>
                      <w:rFonts w:ascii="Arial" w:hAnsi="Arial"/>
                      <w:sz w:val="18"/>
                      <w:szCs w:val="18"/>
                    </w:rPr>
                  </w:pPr>
                </w:p>
              </w:tc>
            </w:tr>
            <w:tr w:rsidR="00251821" w:rsidRPr="00251821" w14:paraId="387A0567"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51C719AA" w14:textId="77777777" w:rsidR="00251821" w:rsidRPr="00251821" w:rsidRDefault="00251821" w:rsidP="00DB2658">
                  <w:pPr>
                    <w:keepNext/>
                    <w:keepLines/>
                    <w:jc w:val="center"/>
                    <w:rPr>
                      <w:rFonts w:ascii="Arial" w:hAnsi="Arial"/>
                      <w:sz w:val="18"/>
                    </w:rPr>
                  </w:pPr>
                  <w:r w:rsidRPr="00251821">
                    <w:rPr>
                      <w:rFonts w:ascii="Arial"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E3082E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C0BFAB6">
                      <v:shape id="_x0000_i1103" type="#_x0000_t75" style="width:9pt;height:16.3pt" o:ole="">
                        <v:imagedata r:id="rId20" o:title=""/>
                      </v:shape>
                      <o:OLEObject Type="Embed" ProgID="Equation.3" ShapeID="_x0000_i1103" DrawAspect="Content" ObjectID="_1634728611" r:id="rId97"/>
                    </w:object>
                  </w:r>
                </w:p>
              </w:tc>
              <w:tc>
                <w:tcPr>
                  <w:tcW w:w="851" w:type="dxa"/>
                  <w:tcBorders>
                    <w:top w:val="single" w:sz="4" w:space="0" w:color="auto"/>
                    <w:left w:val="single" w:sz="4" w:space="0" w:color="auto"/>
                    <w:bottom w:val="single" w:sz="4" w:space="0" w:color="auto"/>
                    <w:right w:val="single" w:sz="4" w:space="0" w:color="auto"/>
                  </w:tcBorders>
                  <w:hideMark/>
                </w:tcPr>
                <w:p w14:paraId="061A79DD"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29E0A74">
                      <v:shape id="_x0000_i1104" type="#_x0000_t75" style="width:9pt;height:16.3pt" o:ole="">
                        <v:imagedata r:id="rId20" o:title=""/>
                      </v:shape>
                      <o:OLEObject Type="Embed" ProgID="Equation.3" ShapeID="_x0000_i1104" DrawAspect="Content" ObjectID="_1634728612" r:id="rId98"/>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40C1D1A0"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6693C5C2"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A58DEA6" wp14:editId="2E624938">
                        <wp:extent cx="97155" cy="180340"/>
                        <wp:effectExtent l="0" t="0" r="0" b="0"/>
                        <wp:docPr id="240" name="図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4E168D20"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B9FA4B1" wp14:editId="067DC863">
                        <wp:extent cx="97155" cy="180340"/>
                        <wp:effectExtent l="0" t="0" r="0" b="0"/>
                        <wp:docPr id="241" name="図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tcPr>
                <w:p w14:paraId="5230E2CF" w14:textId="77777777" w:rsidR="00251821" w:rsidRPr="00251821" w:rsidRDefault="00251821" w:rsidP="00DB2658">
                  <w:pPr>
                    <w:keepNext/>
                    <w:keepLines/>
                    <w:jc w:val="center"/>
                    <w:rPr>
                      <w:rFonts w:ascii="Arial" w:hAnsi="Arial"/>
                      <w:sz w:val="18"/>
                      <w:szCs w:val="18"/>
                    </w:rPr>
                  </w:pPr>
                </w:p>
              </w:tc>
            </w:tr>
            <w:tr w:rsidR="00251821" w:rsidRPr="00251821" w14:paraId="5B3AF06E"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3C2E10F7" w14:textId="77777777" w:rsidR="00251821" w:rsidRPr="00251821" w:rsidRDefault="00251821" w:rsidP="00DB2658">
                  <w:pPr>
                    <w:keepNext/>
                    <w:keepLines/>
                    <w:jc w:val="center"/>
                    <w:rPr>
                      <w:rFonts w:ascii="Arial" w:hAnsi="Arial"/>
                      <w:sz w:val="18"/>
                    </w:rPr>
                  </w:pPr>
                  <w:r w:rsidRPr="00251821">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4E4DB7AF"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4040B89">
                      <v:shape id="_x0000_i1105" type="#_x0000_t75" style="width:9pt;height:16.3pt" o:ole="">
                        <v:imagedata r:id="rId20" o:title=""/>
                      </v:shape>
                      <o:OLEObject Type="Embed" ProgID="Equation.3" ShapeID="_x0000_i1105" DrawAspect="Content" ObjectID="_1634728613" r:id="rId99"/>
                    </w:object>
                  </w:r>
                </w:p>
              </w:tc>
              <w:tc>
                <w:tcPr>
                  <w:tcW w:w="851" w:type="dxa"/>
                  <w:tcBorders>
                    <w:top w:val="single" w:sz="4" w:space="0" w:color="auto"/>
                    <w:left w:val="single" w:sz="4" w:space="0" w:color="auto"/>
                    <w:bottom w:val="single" w:sz="4" w:space="0" w:color="auto"/>
                    <w:right w:val="single" w:sz="4" w:space="0" w:color="auto"/>
                  </w:tcBorders>
                  <w:hideMark/>
                </w:tcPr>
                <w:p w14:paraId="168C9A4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A3B694E">
                      <v:shape id="_x0000_i1106" type="#_x0000_t75" style="width:9pt;height:16.3pt" o:ole="">
                        <v:imagedata r:id="rId20" o:title=""/>
                      </v:shape>
                      <o:OLEObject Type="Embed" ProgID="Equation.3" ShapeID="_x0000_i1106" DrawAspect="Content" ObjectID="_1634728614" r:id="rId100"/>
                    </w:object>
                  </w:r>
                  <w:r w:rsidRPr="00251821">
                    <w:rPr>
                      <w:rFonts w:ascii="Arial" w:hAnsi="Arial"/>
                      <w:sz w:val="18"/>
                      <w:szCs w:val="18"/>
                    </w:rPr>
                    <w:t>, 10</w:t>
                  </w:r>
                </w:p>
              </w:tc>
              <w:tc>
                <w:tcPr>
                  <w:tcW w:w="851" w:type="dxa"/>
                  <w:tcBorders>
                    <w:top w:val="single" w:sz="4" w:space="0" w:color="auto"/>
                    <w:left w:val="single" w:sz="4" w:space="0" w:color="auto"/>
                    <w:bottom w:val="single" w:sz="4" w:space="0" w:color="auto"/>
                    <w:right w:val="single" w:sz="4" w:space="0" w:color="auto"/>
                  </w:tcBorders>
                </w:tcPr>
                <w:p w14:paraId="2B0675BF"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31DFFAD4"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27D2647" wp14:editId="363240FE">
                        <wp:extent cx="97155" cy="180340"/>
                        <wp:effectExtent l="0" t="0" r="0" b="0"/>
                        <wp:docPr id="244" name="図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78A653B4"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0F429E3" wp14:editId="71F7CC98">
                        <wp:extent cx="97155" cy="180340"/>
                        <wp:effectExtent l="0" t="0" r="0" b="0"/>
                        <wp:docPr id="245" name="図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tcPr>
                <w:p w14:paraId="1FE6258A" w14:textId="77777777" w:rsidR="00251821" w:rsidRPr="00251821" w:rsidRDefault="00251821" w:rsidP="00DB2658">
                  <w:pPr>
                    <w:keepNext/>
                    <w:keepLines/>
                    <w:jc w:val="center"/>
                    <w:rPr>
                      <w:rFonts w:ascii="Arial" w:hAnsi="Arial"/>
                      <w:sz w:val="18"/>
                      <w:szCs w:val="18"/>
                    </w:rPr>
                  </w:pPr>
                </w:p>
              </w:tc>
            </w:tr>
          </w:tbl>
          <w:p w14:paraId="7F2688DE" w14:textId="60C07633" w:rsidR="00251821" w:rsidRPr="002E35F4" w:rsidRDefault="00251821" w:rsidP="00251821">
            <w:pPr>
              <w:rPr>
                <w:rFonts w:ascii="Times New Roman" w:eastAsia="Yu Mincho" w:hAnsi="Times New Roman" w:cs="Times New Roman"/>
              </w:rPr>
            </w:pPr>
          </w:p>
        </w:tc>
      </w:tr>
    </w:tbl>
    <w:p w14:paraId="1670AF47" w14:textId="77777777" w:rsidR="00251821" w:rsidRPr="002E35F4" w:rsidRDefault="00251821" w:rsidP="00045A5C">
      <w:pPr>
        <w:pStyle w:val="BodyText"/>
        <w:spacing w:after="180"/>
        <w:rPr>
          <w:rFonts w:ascii="Times New Roman" w:hAnsi="Times New Roman" w:cs="Times New Roman"/>
          <w:sz w:val="20"/>
        </w:rPr>
      </w:pPr>
    </w:p>
    <w:p w14:paraId="2DF10791" w14:textId="44ECBCE2" w:rsidR="003755C3" w:rsidRPr="002E35F4" w:rsidRDefault="000514D1" w:rsidP="00045A5C">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96255F">
        <w:rPr>
          <w:rFonts w:ascii="Times New Roman" w:hAnsi="Times New Roman" w:cs="Times New Roman"/>
          <w:b/>
          <w:sz w:val="20"/>
        </w:rPr>
        <w:t>12</w:t>
      </w:r>
      <w:r w:rsidR="003755C3" w:rsidRPr="002E35F4">
        <w:rPr>
          <w:rFonts w:ascii="Times New Roman" w:hAnsi="Times New Roman" w:cs="Times New Roman"/>
          <w:b/>
          <w:sz w:val="20"/>
        </w:rPr>
        <w:t>: NR-U DMRS position for PDSCH mapping type B of additiona</w:t>
      </w:r>
      <w:r w:rsidR="00AB06E5" w:rsidRPr="002E35F4">
        <w:rPr>
          <w:rFonts w:ascii="Times New Roman" w:hAnsi="Times New Roman" w:cs="Times New Roman"/>
          <w:b/>
          <w:sz w:val="20"/>
        </w:rPr>
        <w:t>l</w:t>
      </w:r>
      <w:r w:rsidR="003755C3" w:rsidRPr="002E35F4">
        <w:rPr>
          <w:rFonts w:ascii="Times New Roman" w:hAnsi="Times New Roman" w:cs="Times New Roman"/>
          <w:b/>
          <w:sz w:val="20"/>
        </w:rPr>
        <w:t>l</w:t>
      </w:r>
      <w:r w:rsidR="00AB06E5" w:rsidRPr="002E35F4">
        <w:rPr>
          <w:rFonts w:ascii="Times New Roman" w:hAnsi="Times New Roman" w:cs="Times New Roman"/>
          <w:b/>
          <w:sz w:val="20"/>
        </w:rPr>
        <w:t>y</w:t>
      </w:r>
      <w:r w:rsidR="003755C3" w:rsidRPr="002E35F4">
        <w:rPr>
          <w:rFonts w:ascii="Times New Roman" w:hAnsi="Times New Roman" w:cs="Times New Roman"/>
          <w:b/>
          <w:sz w:val="20"/>
        </w:rPr>
        <w:t xml:space="preserve"> supported durations </w:t>
      </w:r>
      <w:r w:rsidR="00CB197E">
        <w:rPr>
          <w:rFonts w:ascii="Times New Roman" w:hAnsi="Times New Roman" w:cs="Times New Roman"/>
          <w:b/>
          <w:sz w:val="20"/>
        </w:rPr>
        <w:t xml:space="preserve">(except 9/10) </w:t>
      </w:r>
      <w:r w:rsidR="003755C3" w:rsidRPr="002E35F4">
        <w:rPr>
          <w:rFonts w:ascii="Times New Roman" w:hAnsi="Times New Roman" w:cs="Times New Roman"/>
          <w:b/>
          <w:sz w:val="20"/>
        </w:rPr>
        <w:t>is specified based on the Rel-15 DMRS position for PUSCH mapping type B of the corresponding length.</w:t>
      </w:r>
    </w:p>
    <w:p w14:paraId="498A70EF" w14:textId="77777777" w:rsidR="00E16424" w:rsidRDefault="00E16424" w:rsidP="00E16424">
      <w:pPr>
        <w:pStyle w:val="BodyText"/>
        <w:spacing w:after="180"/>
        <w:rPr>
          <w:rFonts w:ascii="Times New Roman" w:eastAsia="MS Mincho" w:hAnsi="Times New Roman" w:cs="Times New Roman"/>
          <w:sz w:val="20"/>
        </w:rPr>
      </w:pPr>
    </w:p>
    <w:p w14:paraId="4C12972E" w14:textId="5EF0B22B" w:rsidR="00E16424" w:rsidRDefault="00E16424" w:rsidP="00E16424">
      <w:pPr>
        <w:pStyle w:val="BodyText"/>
        <w:spacing w:after="180"/>
        <w:rPr>
          <w:rFonts w:ascii="Times New Roman" w:eastAsia="MS Mincho" w:hAnsi="Times New Roman" w:cs="Times New Roman"/>
          <w:sz w:val="20"/>
        </w:rPr>
      </w:pPr>
      <w:r>
        <w:rPr>
          <w:rFonts w:ascii="Times New Roman" w:eastAsia="MS Mincho" w:hAnsi="Times New Roman" w:cs="Times New Roman"/>
          <w:sz w:val="20"/>
        </w:rPr>
        <w:t>Regarding the DMRS shift</w:t>
      </w:r>
      <w:r w:rsidR="0094423C">
        <w:rPr>
          <w:rFonts w:ascii="Times New Roman" w:eastAsia="MS Mincho" w:hAnsi="Times New Roman" w:cs="Times New Roman"/>
          <w:sz w:val="20"/>
        </w:rPr>
        <w:t xml:space="preserve"> in licen</w:t>
      </w:r>
      <w:r w:rsidR="00CB197E">
        <w:rPr>
          <w:rFonts w:ascii="Times New Roman" w:eastAsia="MS Mincho" w:hAnsi="Times New Roman" w:cs="Times New Roman"/>
          <w:sz w:val="20"/>
        </w:rPr>
        <w:t>se</w:t>
      </w:r>
      <w:r w:rsidR="0094423C">
        <w:rPr>
          <w:rFonts w:ascii="Times New Roman" w:eastAsia="MS Mincho" w:hAnsi="Times New Roman" w:cs="Times New Roman"/>
          <w:sz w:val="20"/>
        </w:rPr>
        <w:t>d band</w:t>
      </w:r>
      <w:r>
        <w:rPr>
          <w:rFonts w:ascii="Times New Roman" w:eastAsia="MS Mincho" w:hAnsi="Times New Roman" w:cs="Times New Roman"/>
          <w:sz w:val="20"/>
        </w:rPr>
        <w:t>, the following agreement was made in the Rel-15 MIMO maintenance session in RAN1 #98:</w:t>
      </w:r>
    </w:p>
    <w:tbl>
      <w:tblPr>
        <w:tblStyle w:val="TableGrid"/>
        <w:tblW w:w="0" w:type="auto"/>
        <w:tblLook w:val="04A0" w:firstRow="1" w:lastRow="0" w:firstColumn="1" w:lastColumn="0" w:noHBand="0" w:noVBand="1"/>
      </w:tblPr>
      <w:tblGrid>
        <w:gridCol w:w="9629"/>
      </w:tblGrid>
      <w:tr w:rsidR="00E16424" w14:paraId="6DF47A96" w14:textId="77777777" w:rsidTr="00626A4C">
        <w:tc>
          <w:tcPr>
            <w:tcW w:w="9629" w:type="dxa"/>
          </w:tcPr>
          <w:p w14:paraId="003EA910" w14:textId="77777777" w:rsidR="00E16424" w:rsidRPr="001F7993" w:rsidRDefault="00E16424" w:rsidP="00626A4C">
            <w:pPr>
              <w:rPr>
                <w:rFonts w:ascii="Times" w:eastAsia="Batang" w:hAnsi="Times" w:cs="Times"/>
                <w:b/>
                <w:bCs/>
                <w:sz w:val="20"/>
                <w:szCs w:val="24"/>
                <w:highlight w:val="green"/>
                <w:lang w:eastAsia="x-none"/>
              </w:rPr>
            </w:pPr>
            <w:r w:rsidRPr="001F7993">
              <w:rPr>
                <w:rFonts w:ascii="Times" w:eastAsia="Batang" w:hAnsi="Times" w:cs="Times"/>
                <w:b/>
                <w:bCs/>
                <w:sz w:val="20"/>
                <w:szCs w:val="24"/>
                <w:highlight w:val="green"/>
                <w:lang w:eastAsia="x-none"/>
              </w:rPr>
              <w:t>Agreement</w:t>
            </w:r>
            <w:r w:rsidRPr="001F7993">
              <w:rPr>
                <w:rFonts w:ascii="Times" w:eastAsia="Batang" w:hAnsi="Times" w:cs="Times"/>
                <w:bCs/>
                <w:sz w:val="20"/>
                <w:szCs w:val="24"/>
                <w:lang w:eastAsia="x-none"/>
              </w:rPr>
              <w:t xml:space="preserve"> (in Rel-15 MIMO maintenance, </w:t>
            </w:r>
            <w:r w:rsidRPr="001F7993">
              <w:rPr>
                <w:rFonts w:ascii="Times" w:eastAsia="Batang" w:hAnsi="Times" w:cs="Times New Roman"/>
                <w:sz w:val="20"/>
                <w:szCs w:val="24"/>
                <w:lang w:eastAsia="x-none"/>
              </w:rPr>
              <w:t>RAN1 #98</w:t>
            </w:r>
            <w:r w:rsidRPr="001F7993">
              <w:rPr>
                <w:rFonts w:ascii="Times" w:eastAsia="Batang" w:hAnsi="Times" w:cs="Times"/>
                <w:bCs/>
                <w:sz w:val="20"/>
                <w:szCs w:val="24"/>
                <w:lang w:eastAsia="x-none"/>
              </w:rPr>
              <w:t>)</w:t>
            </w:r>
          </w:p>
          <w:p w14:paraId="7EE88D1F" w14:textId="77777777" w:rsidR="00E16424" w:rsidRPr="001F7993" w:rsidRDefault="00E16424" w:rsidP="00626A4C">
            <w:pPr>
              <w:rPr>
                <w:rFonts w:ascii="Times" w:eastAsia="Batang" w:hAnsi="Times" w:cs="Times"/>
                <w:sz w:val="20"/>
                <w:szCs w:val="24"/>
                <w:lang w:eastAsia="x-none"/>
              </w:rPr>
            </w:pPr>
            <w:r w:rsidRPr="001F7993">
              <w:rPr>
                <w:rFonts w:ascii="Times" w:eastAsia="Batang" w:hAnsi="Times" w:cs="Times"/>
                <w:sz w:val="20"/>
                <w:szCs w:val="24"/>
                <w:lang w:eastAsia="x-none"/>
              </w:rPr>
              <w:t xml:space="preserve">The following text proposal for </w:t>
            </w:r>
            <w:r w:rsidRPr="001F7993">
              <w:rPr>
                <w:rFonts w:ascii="Times" w:eastAsia="Batang" w:hAnsi="Times" w:cs="Times New Roman"/>
                <w:bCs/>
                <w:sz w:val="20"/>
                <w:szCs w:val="24"/>
              </w:rPr>
              <w:t>Section 7.4.1.1.2 of TS 38.211 is endorsed. To be included as part of the alignment CR for TS38.211.</w:t>
            </w:r>
          </w:p>
          <w:p w14:paraId="3A7AD4F3" w14:textId="77777777" w:rsidR="00E16424" w:rsidRPr="001F7993" w:rsidRDefault="00E16424" w:rsidP="00626A4C">
            <w:pPr>
              <w:spacing w:after="180"/>
              <w:ind w:left="720"/>
              <w:jc w:val="center"/>
              <w:rPr>
                <w:rFonts w:ascii="Times New Roman" w:eastAsia="Batang" w:hAnsi="Times New Roman" w:cs="Times New Roman"/>
                <w:sz w:val="20"/>
                <w:szCs w:val="20"/>
                <w:lang w:eastAsia="zh-CN"/>
              </w:rPr>
            </w:pPr>
            <w:r w:rsidRPr="001F7993">
              <w:rPr>
                <w:rFonts w:ascii="Times New Roman" w:eastAsia="Batang" w:hAnsi="Times New Roman" w:cs="Times New Roman"/>
                <w:b/>
                <w:bCs/>
                <w:color w:val="FF0000"/>
                <w:sz w:val="24"/>
                <w:szCs w:val="28"/>
                <w:lang w:eastAsia="zh-CN"/>
              </w:rPr>
              <w:t>&lt;&lt; Start of change&gt;&gt;</w:t>
            </w:r>
          </w:p>
          <w:p w14:paraId="15484BB7" w14:textId="77777777" w:rsidR="00E16424" w:rsidRPr="001F7993" w:rsidRDefault="00E16424" w:rsidP="00626A4C">
            <w:pPr>
              <w:ind w:left="1004"/>
              <w:rPr>
                <w:rFonts w:ascii="Times" w:eastAsia="Batang" w:hAnsi="Times" w:cs="Times New Roman"/>
                <w:sz w:val="20"/>
                <w:szCs w:val="24"/>
              </w:rPr>
            </w:pPr>
            <w:r w:rsidRPr="001F7993">
              <w:rPr>
                <w:rFonts w:ascii="Times" w:eastAsia="Batang" w:hAnsi="Times" w:cs="Times New Roman"/>
                <w:sz w:val="20"/>
                <w:szCs w:val="24"/>
              </w:rPr>
              <w:t xml:space="preserve">For PDSCH mapping Type A single-symbol DM-RS, </w:t>
            </w:r>
            <w:r w:rsidRPr="001F7993">
              <w:rPr>
                <w:rFonts w:ascii="Cambria Math" w:eastAsia="Batang" w:hAnsi="Cambria Math" w:cs="Times New Roman"/>
                <w:i/>
                <w:iCs/>
                <w:sz w:val="20"/>
                <w:szCs w:val="24"/>
              </w:rPr>
              <w:t>l1=11</w:t>
            </w:r>
            <w:r w:rsidRPr="001F7993">
              <w:rPr>
                <w:rFonts w:ascii="Times" w:eastAsia="Batang" w:hAnsi="Times" w:cs="Times New Roman"/>
                <w:sz w:val="20"/>
                <w:szCs w:val="24"/>
              </w:rPr>
              <w:t xml:space="preserve"> except if all of the following conditions are fulfilled in which case</w:t>
            </w:r>
            <w:r w:rsidRPr="001F7993">
              <w:rPr>
                <w:rFonts w:ascii="Cambria Math" w:eastAsia="Batang" w:hAnsi="Cambria Math" w:cs="Times New Roman"/>
                <w:i/>
                <w:iCs/>
                <w:sz w:val="20"/>
                <w:szCs w:val="24"/>
              </w:rPr>
              <w:t>l1=12</w:t>
            </w:r>
            <w:r w:rsidRPr="001F7993">
              <w:rPr>
                <w:rFonts w:ascii="Times" w:eastAsia="Batang" w:hAnsi="Times" w:cs="Times New Roman"/>
                <w:sz w:val="20"/>
                <w:szCs w:val="24"/>
              </w:rPr>
              <w:t>:</w:t>
            </w:r>
          </w:p>
          <w:p w14:paraId="118D725E" w14:textId="77777777" w:rsidR="00E16424" w:rsidRPr="001F7993" w:rsidRDefault="00E16424" w:rsidP="00626A4C">
            <w:pPr>
              <w:spacing w:after="180"/>
              <w:ind w:left="1572" w:hanging="284"/>
              <w:rPr>
                <w:rFonts w:ascii="Times New Roman" w:eastAsia="MS Mincho" w:hAnsi="Times New Roman" w:cs="Times New Roman"/>
                <w:sz w:val="18"/>
                <w:szCs w:val="20"/>
              </w:rPr>
            </w:pPr>
            <w:r w:rsidRPr="001F7993">
              <w:rPr>
                <w:rFonts w:ascii="Times New Roman" w:eastAsia="MS Mincho" w:hAnsi="Times New Roman" w:cs="Times New Roman"/>
                <w:sz w:val="18"/>
                <w:szCs w:val="20"/>
              </w:rPr>
              <w:t xml:space="preserve">-     the higher-layer parameter </w:t>
            </w:r>
            <w:r w:rsidRPr="001F7993">
              <w:rPr>
                <w:rFonts w:ascii="Times New Roman" w:eastAsia="MS Mincho" w:hAnsi="Times New Roman" w:cs="Times New Roman"/>
                <w:i/>
                <w:iCs/>
                <w:sz w:val="18"/>
                <w:szCs w:val="20"/>
              </w:rPr>
              <w:t>lte-CRS-ToMatchAround</w:t>
            </w:r>
            <w:r w:rsidRPr="001F7993">
              <w:rPr>
                <w:rFonts w:ascii="Times New Roman" w:eastAsia="MS Mincho" w:hAnsi="Times New Roman" w:cs="Times New Roman"/>
                <w:sz w:val="18"/>
                <w:szCs w:val="20"/>
              </w:rPr>
              <w:t xml:space="preserve"> is configured </w:t>
            </w:r>
            <w:r w:rsidRPr="001F7993">
              <w:rPr>
                <w:rFonts w:ascii="Times New Roman" w:eastAsia="MS Mincho" w:hAnsi="Times New Roman" w:cs="Times New Roman"/>
                <w:strike/>
                <w:color w:val="FF0000"/>
                <w:sz w:val="18"/>
                <w:szCs w:val="20"/>
              </w:rPr>
              <w:t xml:space="preserve">and any PDSCH DM-RS symbol conincides with any symbol containing LTE cell-specific reference signals </w:t>
            </w:r>
            <w:r w:rsidRPr="001F7993">
              <w:rPr>
                <w:rFonts w:ascii="Times New Roman" w:eastAsia="MS Mincho" w:hAnsi="Times New Roman" w:cs="Times New Roman"/>
                <w:sz w:val="18"/>
                <w:szCs w:val="20"/>
              </w:rPr>
              <w:t xml:space="preserve">as indicated by the higher-layer parameter </w:t>
            </w:r>
            <w:r w:rsidRPr="001F7993">
              <w:rPr>
                <w:rFonts w:ascii="Times New Roman" w:eastAsia="MS Mincho" w:hAnsi="Times New Roman" w:cs="Times New Roman"/>
                <w:i/>
                <w:iCs/>
                <w:sz w:val="18"/>
                <w:szCs w:val="20"/>
              </w:rPr>
              <w:t>lte-CRS-ToMatchAround</w:t>
            </w:r>
            <w:r w:rsidRPr="001F7993">
              <w:rPr>
                <w:rFonts w:ascii="Times New Roman" w:eastAsia="MS Mincho" w:hAnsi="Times New Roman" w:cs="Times New Roman"/>
                <w:sz w:val="18"/>
                <w:szCs w:val="20"/>
              </w:rPr>
              <w:t>; and</w:t>
            </w:r>
          </w:p>
          <w:p w14:paraId="7A692D2D" w14:textId="77777777" w:rsidR="00E16424" w:rsidRPr="001F7993" w:rsidRDefault="00E16424" w:rsidP="00626A4C">
            <w:pPr>
              <w:spacing w:after="180"/>
              <w:ind w:left="1572" w:hanging="284"/>
              <w:rPr>
                <w:rFonts w:ascii="Times New Roman" w:eastAsia="MS Mincho" w:hAnsi="Times New Roman" w:cs="Times New Roman"/>
                <w:sz w:val="18"/>
                <w:szCs w:val="20"/>
              </w:rPr>
            </w:pPr>
            <w:r w:rsidRPr="001F7993">
              <w:rPr>
                <w:rFonts w:ascii="Times New Roman" w:eastAsia="MS Mincho" w:hAnsi="Times New Roman" w:cs="Times New Roman"/>
                <w:i/>
                <w:iCs/>
                <w:sz w:val="18"/>
                <w:szCs w:val="20"/>
              </w:rPr>
              <w:t xml:space="preserve">-     </w:t>
            </w:r>
            <w:r w:rsidRPr="001F7993">
              <w:rPr>
                <w:rFonts w:ascii="Times New Roman" w:eastAsia="MS Mincho" w:hAnsi="Times New Roman" w:cs="Times New Roman"/>
                <w:sz w:val="18"/>
                <w:szCs w:val="20"/>
              </w:rPr>
              <w:t xml:space="preserve">the higher-layer parameters </w:t>
            </w:r>
            <w:r w:rsidRPr="001F7993">
              <w:rPr>
                <w:rFonts w:ascii="Times New Roman" w:eastAsia="MS Mincho" w:hAnsi="Times New Roman" w:cs="Times New Roman"/>
                <w:i/>
                <w:iCs/>
                <w:sz w:val="18"/>
                <w:szCs w:val="20"/>
              </w:rPr>
              <w:t>dmrs-AdditionalPosition</w:t>
            </w:r>
            <w:r w:rsidRPr="001F7993">
              <w:rPr>
                <w:rFonts w:ascii="Times New Roman" w:eastAsia="MS Mincho" w:hAnsi="Times New Roman" w:cs="Times New Roman"/>
                <w:sz w:val="18"/>
                <w:szCs w:val="20"/>
              </w:rPr>
              <w:t xml:space="preserve"> is equal to 'pos1' and</w:t>
            </w:r>
            <w:r w:rsidRPr="001F7993">
              <w:rPr>
                <w:rFonts w:ascii="Cambria Math" w:eastAsia="MS Mincho" w:hAnsi="Cambria Math" w:cs="Times New Roman"/>
                <w:i/>
                <w:iCs/>
                <w:sz w:val="18"/>
                <w:szCs w:val="20"/>
              </w:rPr>
              <w:t>l0=3</w:t>
            </w:r>
            <w:r w:rsidRPr="001F7993">
              <w:rPr>
                <w:rFonts w:ascii="Times New Roman" w:eastAsia="MS Mincho" w:hAnsi="Times New Roman" w:cs="Times New Roman"/>
                <w:sz w:val="18"/>
                <w:szCs w:val="20"/>
              </w:rPr>
              <w:t>; and</w:t>
            </w:r>
          </w:p>
          <w:p w14:paraId="2FF71DEC" w14:textId="77777777" w:rsidR="00E16424" w:rsidRPr="001F7993" w:rsidRDefault="00E16424" w:rsidP="00626A4C">
            <w:pPr>
              <w:spacing w:after="180"/>
              <w:ind w:left="1572" w:hanging="284"/>
              <w:rPr>
                <w:rFonts w:ascii="Times New Roman" w:eastAsia="MS Mincho" w:hAnsi="Times New Roman" w:cs="Times New Roman"/>
                <w:sz w:val="18"/>
                <w:szCs w:val="20"/>
              </w:rPr>
            </w:pPr>
            <w:r w:rsidRPr="001F7993">
              <w:rPr>
                <w:rFonts w:ascii="Times New Roman" w:eastAsia="MS Mincho" w:hAnsi="Times New Roman" w:cs="Times New Roman"/>
                <w:i/>
                <w:iCs/>
                <w:sz w:val="18"/>
                <w:szCs w:val="20"/>
              </w:rPr>
              <w:t>-</w:t>
            </w:r>
            <w:r w:rsidRPr="001F7993">
              <w:rPr>
                <w:rFonts w:ascii="Times New Roman" w:eastAsia="MS Mincho" w:hAnsi="Times New Roman" w:cs="Times New Roman"/>
                <w:sz w:val="18"/>
                <w:szCs w:val="20"/>
              </w:rPr>
              <w:t xml:space="preserve">     the UE has indicated it is capable of </w:t>
            </w:r>
            <w:r w:rsidRPr="001F7993">
              <w:rPr>
                <w:rFonts w:ascii="Times New Roman" w:eastAsia="MS Mincho" w:hAnsi="Times New Roman" w:cs="Times New Roman"/>
                <w:i/>
                <w:iCs/>
                <w:sz w:val="18"/>
                <w:szCs w:val="20"/>
              </w:rPr>
              <w:t>additionalDMRS-DL-Alt</w:t>
            </w:r>
            <w:r w:rsidRPr="001F7993">
              <w:rPr>
                <w:rFonts w:ascii="Times New Roman" w:eastAsia="MS Mincho" w:hAnsi="Times New Roman" w:cs="Times New Roman"/>
                <w:sz w:val="18"/>
                <w:szCs w:val="20"/>
              </w:rPr>
              <w:t xml:space="preserve">. </w:t>
            </w:r>
          </w:p>
          <w:p w14:paraId="5BCD4C49" w14:textId="259BB65D" w:rsidR="00E16424" w:rsidRDefault="00E16424" w:rsidP="00CB197E">
            <w:pPr>
              <w:spacing w:after="180"/>
              <w:ind w:left="1440"/>
              <w:jc w:val="center"/>
              <w:rPr>
                <w:rFonts w:ascii="Times New Roman" w:eastAsia="MS Mincho" w:hAnsi="Times New Roman" w:cs="Times New Roman"/>
                <w:sz w:val="20"/>
              </w:rPr>
            </w:pPr>
            <w:r w:rsidRPr="001F7993">
              <w:rPr>
                <w:rFonts w:ascii="Times New Roman" w:eastAsia="Batang" w:hAnsi="Times New Roman" w:cs="Times New Roman"/>
                <w:b/>
                <w:bCs/>
                <w:color w:val="FF0000"/>
                <w:sz w:val="24"/>
                <w:szCs w:val="28"/>
                <w:lang w:eastAsia="zh-CN"/>
              </w:rPr>
              <w:t>&lt;&lt; End of change&gt;&gt;</w:t>
            </w:r>
          </w:p>
        </w:tc>
      </w:tr>
    </w:tbl>
    <w:p w14:paraId="570FC62D" w14:textId="77777777" w:rsidR="00E16424" w:rsidRDefault="00E16424" w:rsidP="00E16424">
      <w:pPr>
        <w:pStyle w:val="BodyText"/>
        <w:spacing w:after="180"/>
        <w:rPr>
          <w:rFonts w:ascii="Times New Roman" w:eastAsia="MS Mincho" w:hAnsi="Times New Roman" w:cs="Times New Roman"/>
          <w:sz w:val="20"/>
        </w:rPr>
      </w:pPr>
    </w:p>
    <w:p w14:paraId="13328597" w14:textId="037C5E74" w:rsidR="00E16424" w:rsidRDefault="00E16424" w:rsidP="00E16424">
      <w:pPr>
        <w:pStyle w:val="BodyText"/>
        <w:spacing w:after="180"/>
        <w:rPr>
          <w:rFonts w:ascii="Times New Roman" w:eastAsia="MS Mincho" w:hAnsi="Times New Roman" w:cs="Times New Roman"/>
          <w:sz w:val="20"/>
        </w:rPr>
      </w:pPr>
      <w:r>
        <w:rPr>
          <w:rFonts w:ascii="Times New Roman" w:eastAsia="MS Mincho" w:hAnsi="Times New Roman" w:cs="Times New Roman"/>
          <w:sz w:val="20"/>
        </w:rPr>
        <w:t xml:space="preserve">The </w:t>
      </w:r>
      <w:r>
        <w:rPr>
          <w:rFonts w:ascii="Times New Roman" w:eastAsia="MS Mincho" w:hAnsi="Times New Roman" w:cs="Times New Roman" w:hint="eastAsia"/>
          <w:sz w:val="20"/>
        </w:rPr>
        <w:t>NR</w:t>
      </w:r>
      <w:r>
        <w:rPr>
          <w:rFonts w:ascii="Times New Roman" w:eastAsia="MS Mincho" w:hAnsi="Times New Roman" w:cs="Times New Roman"/>
          <w:sz w:val="20"/>
        </w:rPr>
        <w:t xml:space="preserve">-U agreement says NR </w:t>
      </w:r>
      <w:r w:rsidRPr="001F7993">
        <w:rPr>
          <w:rFonts w:ascii="Times New Roman" w:eastAsia="MS Mincho" w:hAnsi="Times New Roman" w:cs="Times New Roman"/>
          <w:sz w:val="20"/>
        </w:rPr>
        <w:t xml:space="preserve">DMRS </w:t>
      </w:r>
      <w:r w:rsidR="001456BD">
        <w:rPr>
          <w:rFonts w:ascii="Times New Roman" w:eastAsia="MS Mincho" w:hAnsi="Times New Roman" w:cs="Times New Roman"/>
          <w:sz w:val="20"/>
        </w:rPr>
        <w:t xml:space="preserve">for PDSCH mapping type B </w:t>
      </w:r>
      <w:r w:rsidRPr="001F7993">
        <w:rPr>
          <w:rFonts w:ascii="Times New Roman" w:eastAsia="MS Mincho" w:hAnsi="Times New Roman" w:cs="Times New Roman"/>
          <w:sz w:val="20"/>
        </w:rPr>
        <w:t>is shifted when it collides with CRS</w:t>
      </w:r>
      <w:r>
        <w:rPr>
          <w:rFonts w:ascii="Times New Roman" w:eastAsia="MS Mincho" w:hAnsi="Times New Roman" w:cs="Times New Roman"/>
          <w:sz w:val="20"/>
        </w:rPr>
        <w:t xml:space="preserve">. But the Rel-15 agreement intends NR DMRS </w:t>
      </w:r>
      <w:r w:rsidR="001456BD">
        <w:rPr>
          <w:rFonts w:ascii="Times New Roman" w:eastAsia="MS Mincho" w:hAnsi="Times New Roman" w:cs="Times New Roman"/>
          <w:sz w:val="20"/>
        </w:rPr>
        <w:t xml:space="preserve">for PDSCH mapping type A </w:t>
      </w:r>
      <w:r>
        <w:rPr>
          <w:rFonts w:ascii="Times New Roman" w:eastAsia="MS Mincho" w:hAnsi="Times New Roman" w:cs="Times New Roman"/>
          <w:sz w:val="20"/>
        </w:rPr>
        <w:t>can be shifted when any LTE-CRS rate-matching pattern is configured, without checking the collision. Then, the two agreements are not consistent.</w:t>
      </w:r>
      <w:r w:rsidR="001456BD">
        <w:rPr>
          <w:rFonts w:ascii="Times New Roman" w:eastAsia="MS Mincho" w:hAnsi="Times New Roman" w:cs="Times New Roman"/>
          <w:sz w:val="20"/>
        </w:rPr>
        <w:t xml:space="preserve"> From the perspective of complexity, there is no difference for type A/B to shift the DMRS position based on the CRS. Therefore, the same shifting mechanism should be applied for type A and B.</w:t>
      </w:r>
    </w:p>
    <w:p w14:paraId="143BB226" w14:textId="409C2CCE" w:rsidR="00E16424" w:rsidRDefault="00E16424" w:rsidP="00E16424">
      <w:pPr>
        <w:pStyle w:val="BodyText"/>
        <w:spacing w:after="180"/>
        <w:rPr>
          <w:rFonts w:ascii="Times New Roman" w:eastAsia="MS Mincho" w:hAnsi="Times New Roman" w:cs="Times New Roman"/>
          <w:sz w:val="20"/>
        </w:rPr>
      </w:pPr>
      <w:r>
        <w:rPr>
          <w:rFonts w:ascii="Times New Roman" w:eastAsia="MS Mincho" w:hAnsi="Times New Roman" w:cs="Times New Roman"/>
          <w:sz w:val="20"/>
        </w:rPr>
        <w:t xml:space="preserve">We propose that NR-U agreement </w:t>
      </w:r>
      <w:r w:rsidR="0094423C">
        <w:rPr>
          <w:rFonts w:ascii="Times New Roman" w:eastAsia="MS Mincho" w:hAnsi="Times New Roman" w:cs="Times New Roman"/>
          <w:sz w:val="20"/>
        </w:rPr>
        <w:t xml:space="preserve">in the last RAN1 meeting </w:t>
      </w:r>
      <w:r>
        <w:rPr>
          <w:rFonts w:ascii="Times New Roman" w:eastAsia="MS Mincho" w:hAnsi="Times New Roman" w:cs="Times New Roman"/>
          <w:sz w:val="20"/>
        </w:rPr>
        <w:t>is modified to be consistent with Rel-15. That is, Rel-16 DMRS can be shifted when any LTE-CRS rate-matching pattern is configured, without checking the collision. The condition would be as the proposal below:</w:t>
      </w:r>
    </w:p>
    <w:p w14:paraId="685C7C24" w14:textId="59952C07" w:rsidR="00005D5E" w:rsidRPr="000514D1" w:rsidRDefault="00E16424" w:rsidP="00E16424">
      <w:pPr>
        <w:pStyle w:val="BodyText"/>
        <w:spacing w:after="180"/>
        <w:rPr>
          <w:b/>
        </w:rPr>
      </w:pPr>
      <w:r w:rsidRPr="007A0605">
        <w:rPr>
          <w:rFonts w:ascii="Times New Roman" w:eastAsia="MS Mincho" w:hAnsi="Times New Roman" w:cs="Times New Roman"/>
          <w:b/>
          <w:sz w:val="20"/>
          <w:szCs w:val="20"/>
        </w:rPr>
        <w:t xml:space="preserve">Proposal </w:t>
      </w:r>
      <w:r w:rsidR="00AD3E61">
        <w:rPr>
          <w:rFonts w:ascii="Times New Roman" w:eastAsia="MS Mincho" w:hAnsi="Times New Roman" w:cs="Times New Roman"/>
          <w:b/>
          <w:sz w:val="20"/>
          <w:szCs w:val="20"/>
        </w:rPr>
        <w:t>1</w:t>
      </w:r>
      <w:r w:rsidR="0096255F">
        <w:rPr>
          <w:rFonts w:ascii="Times New Roman" w:eastAsia="MS Mincho" w:hAnsi="Times New Roman" w:cs="Times New Roman"/>
          <w:b/>
          <w:sz w:val="20"/>
          <w:szCs w:val="20"/>
        </w:rPr>
        <w:t>3</w:t>
      </w:r>
      <w:r w:rsidRPr="007A0605">
        <w:rPr>
          <w:rFonts w:ascii="Times New Roman" w:eastAsia="MS Mincho" w:hAnsi="Times New Roman" w:cs="Times New Roman"/>
          <w:b/>
          <w:sz w:val="20"/>
          <w:szCs w:val="20"/>
        </w:rPr>
        <w:t xml:space="preserve">: </w:t>
      </w:r>
      <w:r w:rsidRPr="006751D8">
        <w:rPr>
          <w:rFonts w:ascii="Times New Roman" w:eastAsia="MS Mincho" w:hAnsi="Times New Roman" w:cs="Times New Roman"/>
          <w:b/>
          <w:sz w:val="20"/>
          <w:szCs w:val="20"/>
        </w:rPr>
        <w:t xml:space="preserve">If the PDSCH duration </w:t>
      </w:r>
      <m:oMath>
        <m:sSub>
          <m:sSubPr>
            <m:ctrlPr>
              <w:rPr>
                <w:rFonts w:ascii="Cambria Math" w:eastAsia="Times New Roman" w:hAnsi="Cambria Math"/>
                <w:i/>
                <w:sz w:val="20"/>
                <w:szCs w:val="20"/>
              </w:rPr>
            </m:ctrlPr>
          </m:sSubPr>
          <m:e>
            <m:r>
              <m:rPr>
                <m:sty m:val="bi"/>
              </m:rPr>
              <w:rPr>
                <w:rFonts w:ascii="Cambria Math" w:eastAsia="Times New Roman" w:hAnsi="Cambria Math"/>
                <w:sz w:val="20"/>
                <w:szCs w:val="20"/>
              </w:rPr>
              <m:t>l</m:t>
            </m:r>
          </m:e>
          <m:sub>
            <m:r>
              <m:rPr>
                <m:nor/>
              </m:rPr>
              <w:rPr>
                <w:rFonts w:ascii="Cambria Math" w:eastAsia="Times New Roman" w:hAnsi="Cambria Math"/>
                <w:b/>
                <w:sz w:val="20"/>
                <w:szCs w:val="20"/>
              </w:rPr>
              <m:t>d</m:t>
            </m:r>
          </m:sub>
        </m:sSub>
      </m:oMath>
      <w:r w:rsidRPr="006751D8">
        <w:rPr>
          <w:rFonts w:ascii="Times New Roman" w:eastAsia="MS Mincho" w:hAnsi="Times New Roman" w:cs="Times New Roman"/>
          <w:b/>
          <w:sz w:val="20"/>
          <w:szCs w:val="20"/>
        </w:rPr>
        <w:t xml:space="preserve"> is 10 OFDM symbols for normal cyclic prefix, and if </w:t>
      </w:r>
      <w:r w:rsidRPr="007A0605">
        <w:rPr>
          <w:rFonts w:ascii="Times New Roman" w:hAnsi="Times New Roman"/>
          <w:b/>
          <w:sz w:val="20"/>
          <w:szCs w:val="20"/>
        </w:rPr>
        <w:t>any LTE-CRS rate-matching pattern is configured</w:t>
      </w:r>
      <w:r w:rsidRPr="006751D8">
        <w:rPr>
          <w:rFonts w:ascii="Times New Roman" w:eastAsia="MS Mincho" w:hAnsi="Times New Roman" w:cs="Times New Roman"/>
          <w:b/>
          <w:sz w:val="20"/>
          <w:szCs w:val="20"/>
        </w:rPr>
        <w:t xml:space="preserve">, </w:t>
      </w:r>
      <w:r w:rsidRPr="007A0605">
        <w:rPr>
          <w:rFonts w:ascii="Times" w:eastAsia="Batang" w:hAnsi="Times"/>
          <w:position w:val="-6"/>
          <w:sz w:val="20"/>
          <w:szCs w:val="20"/>
        </w:rPr>
        <w:object w:dxaOrig="160" w:dyaOrig="300" w14:anchorId="652EB640">
          <v:shape id="_x0000_i1107" type="#_x0000_t75" style="width:8.15pt;height:15pt" o:ole="">
            <v:imagedata r:id="rId14" o:title=""/>
          </v:shape>
          <o:OLEObject Type="Embed" ProgID="Equation.3" ShapeID="_x0000_i1107" DrawAspect="Content" ObjectID="_1634728615" r:id="rId101"/>
        </w:object>
      </w:r>
      <w:r w:rsidRPr="006751D8">
        <w:rPr>
          <w:rFonts w:ascii="Times New Roman" w:eastAsia="MS Mincho" w:hAnsi="Times New Roman" w:cs="Times New Roman"/>
          <w:b/>
          <w:sz w:val="20"/>
          <w:szCs w:val="20"/>
        </w:rPr>
        <w:t xml:space="preserve"> shall be incremented by 1</w:t>
      </w:r>
      <w:r w:rsidRPr="00C31584">
        <w:rPr>
          <w:rFonts w:ascii="Times New Roman" w:eastAsia="MS Mincho" w:hAnsi="Times New Roman" w:cs="Times New Roman"/>
          <w:b/>
          <w:sz w:val="20"/>
          <w:szCs w:val="20"/>
        </w:rPr>
        <w:t>.</w:t>
      </w:r>
    </w:p>
    <w:p w14:paraId="6F2F834F" w14:textId="739A05F1" w:rsidR="00EF4286" w:rsidRDefault="00EF4286" w:rsidP="00EF4286">
      <w:pPr>
        <w:pStyle w:val="Heading1"/>
        <w:rPr>
          <w:lang w:val="en-US"/>
        </w:rPr>
      </w:pPr>
      <w:r>
        <w:rPr>
          <w:lang w:val="en-US"/>
        </w:rPr>
        <w:t>CSI-RS transmission and CSI reporting</w:t>
      </w:r>
    </w:p>
    <w:p w14:paraId="0CCD5807" w14:textId="77777777" w:rsidR="00EF4286" w:rsidRPr="002E35F4" w:rsidRDefault="00EF4286" w:rsidP="00EF4286">
      <w:pPr>
        <w:spacing w:after="180"/>
        <w:rPr>
          <w:rFonts w:ascii="Times New Roman" w:hAnsi="Times New Roman" w:cs="Times New Roman"/>
          <w:b/>
          <w:sz w:val="20"/>
          <w:szCs w:val="20"/>
          <w:u w:val="single"/>
          <w:lang w:val="en-AU"/>
        </w:rPr>
      </w:pPr>
      <w:r w:rsidRPr="002E35F4">
        <w:rPr>
          <w:rFonts w:ascii="Times New Roman" w:hAnsi="Times New Roman" w:cs="Times New Roman"/>
          <w:b/>
          <w:sz w:val="20"/>
          <w:szCs w:val="20"/>
          <w:u w:val="single"/>
          <w:lang w:val="en-AU"/>
        </w:rPr>
        <w:t>CSI-RS transmission</w:t>
      </w:r>
    </w:p>
    <w:p w14:paraId="3CB6AE6E" w14:textId="079CEEBA"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In Rel.15 NR, CSI-RS transmission could be periodic, semi-persistent and aperiodic. They should also be supported in NR-U to allow gNB to understand current channels status correctly. However, in NR-U, LBT is basically required before the transmission. Thus, some enhancements </w:t>
      </w:r>
      <w:r w:rsidR="009331AD">
        <w:rPr>
          <w:rFonts w:ascii="Times New Roman" w:hAnsi="Times New Roman" w:cs="Times New Roman"/>
          <w:sz w:val="20"/>
          <w:szCs w:val="20"/>
        </w:rPr>
        <w:t>are</w:t>
      </w:r>
      <w:r w:rsidRPr="002E35F4">
        <w:rPr>
          <w:rFonts w:ascii="Times New Roman" w:hAnsi="Times New Roman" w:cs="Times New Roman"/>
          <w:sz w:val="20"/>
          <w:szCs w:val="20"/>
        </w:rPr>
        <w:t xml:space="preserve"> needed to introduce CSI-RS in NR-U. </w:t>
      </w:r>
    </w:p>
    <w:p w14:paraId="474E7A0B" w14:textId="5FD20897"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Considering the reuse of periodic and semi-persistent CSI-RS in NR, some periodic transmission opportunities of CSI-RS transmission could be lost because gNB could fail because of LBT failure. To avoid this, CSI-RS transmission should have more flexibility. One possibility is to allow gNB to have some possible transmission opportunities in </w:t>
      </w:r>
      <w:r w:rsidR="00BC6B9A" w:rsidRPr="002E35F4">
        <w:rPr>
          <w:rFonts w:ascii="Times New Roman" w:hAnsi="Times New Roman" w:cs="Times New Roman"/>
          <w:sz w:val="20"/>
          <w:szCs w:val="20"/>
        </w:rPr>
        <w:t xml:space="preserve">a </w:t>
      </w:r>
      <w:r w:rsidRPr="002E35F4">
        <w:rPr>
          <w:rFonts w:ascii="Times New Roman" w:hAnsi="Times New Roman" w:cs="Times New Roman"/>
          <w:sz w:val="20"/>
          <w:szCs w:val="20"/>
        </w:rPr>
        <w:t xml:space="preserve">window and UE blindly detect CSI-RS transmission. It has the issue on </w:t>
      </w:r>
      <w:r w:rsidR="00BC6B9A" w:rsidRPr="002E35F4">
        <w:rPr>
          <w:rFonts w:ascii="Times New Roman" w:hAnsi="Times New Roman" w:cs="Times New Roman"/>
          <w:sz w:val="20"/>
          <w:szCs w:val="20"/>
        </w:rPr>
        <w:t xml:space="preserve">measurement </w:t>
      </w:r>
      <w:r w:rsidRPr="002E35F4">
        <w:rPr>
          <w:rFonts w:ascii="Times New Roman" w:hAnsi="Times New Roman" w:cs="Times New Roman"/>
          <w:sz w:val="20"/>
          <w:szCs w:val="20"/>
        </w:rPr>
        <w:t>when</w:t>
      </w:r>
      <w:r w:rsidR="00BC6B9A" w:rsidRPr="002E35F4">
        <w:rPr>
          <w:rFonts w:ascii="Times New Roman" w:hAnsi="Times New Roman" w:cs="Times New Roman"/>
          <w:sz w:val="20"/>
          <w:szCs w:val="20"/>
        </w:rPr>
        <w:t xml:space="preserve"> SINR is low and</w:t>
      </w:r>
      <w:r w:rsidRPr="002E35F4">
        <w:rPr>
          <w:rFonts w:ascii="Times New Roman" w:hAnsi="Times New Roman" w:cs="Times New Roman"/>
          <w:sz w:val="20"/>
          <w:szCs w:val="20"/>
        </w:rPr>
        <w:t xml:space="preserve"> blind detection of CSI-RS is failed</w:t>
      </w:r>
      <w:r w:rsidR="00BC6B9A" w:rsidRPr="002E35F4">
        <w:rPr>
          <w:rFonts w:ascii="Times New Roman" w:hAnsi="Times New Roman" w:cs="Times New Roman"/>
          <w:sz w:val="20"/>
          <w:szCs w:val="20"/>
        </w:rPr>
        <w:t>.</w:t>
      </w:r>
      <w:r w:rsidRPr="002E35F4">
        <w:rPr>
          <w:rFonts w:ascii="Times New Roman" w:hAnsi="Times New Roman" w:cs="Times New Roman"/>
          <w:sz w:val="20"/>
          <w:szCs w:val="20"/>
        </w:rPr>
        <w:t xml:space="preserve"> </w:t>
      </w:r>
      <w:r w:rsidR="00BC6B9A" w:rsidRPr="002E35F4">
        <w:rPr>
          <w:rFonts w:ascii="Times New Roman" w:hAnsi="Times New Roman" w:cs="Times New Roman"/>
          <w:sz w:val="20"/>
          <w:szCs w:val="20"/>
        </w:rPr>
        <w:t>A</w:t>
      </w:r>
      <w:r w:rsidRPr="002E35F4">
        <w:rPr>
          <w:rFonts w:ascii="Times New Roman" w:hAnsi="Times New Roman" w:cs="Times New Roman"/>
          <w:sz w:val="20"/>
          <w:szCs w:val="20"/>
        </w:rPr>
        <w:t>nother issue is UE power consumption. Therefore, instead of blind detection of CSI-RS, we would propose the initially configured timing of CSI-RS is shifted based on a pre-configured rule related to gNB obtained COT structure. Another option is explicit aperiodic CSI-RS transmission request similar to SRS transmission by DCI format 2_3.</w:t>
      </w:r>
      <w:r w:rsidR="009760BD" w:rsidRPr="002E35F4">
        <w:rPr>
          <w:rFonts w:ascii="Times New Roman" w:hAnsi="Times New Roman" w:cs="Times New Roman"/>
          <w:sz w:val="20"/>
          <w:szCs w:val="20"/>
        </w:rPr>
        <w:t xml:space="preserve"> </w:t>
      </w:r>
      <w:r w:rsidRPr="002E35F4">
        <w:rPr>
          <w:rFonts w:ascii="Times New Roman" w:hAnsi="Times New Roman" w:cs="Times New Roman"/>
          <w:sz w:val="20"/>
          <w:szCs w:val="20"/>
        </w:rPr>
        <w:t>Since the shift based on pre-configured rules or explicitly requests could provide gNB and UE with the same understanding of CSI-RS timing, there is no need to blind</w:t>
      </w:r>
      <w:r w:rsidR="002E35F4" w:rsidRPr="002E35F4">
        <w:rPr>
          <w:rFonts w:ascii="Times New Roman" w:hAnsi="Times New Roman" w:cs="Times New Roman"/>
          <w:sz w:val="20"/>
          <w:szCs w:val="20"/>
        </w:rPr>
        <w:t>ly</w:t>
      </w:r>
      <w:r w:rsidRPr="002E35F4">
        <w:rPr>
          <w:rFonts w:ascii="Times New Roman" w:hAnsi="Times New Roman" w:cs="Times New Roman"/>
          <w:sz w:val="20"/>
          <w:szCs w:val="20"/>
        </w:rPr>
        <w:t xml:space="preserve"> </w:t>
      </w:r>
      <w:r w:rsidR="002E35F4" w:rsidRPr="002E35F4">
        <w:rPr>
          <w:rFonts w:ascii="Times New Roman" w:hAnsi="Times New Roman" w:cs="Times New Roman"/>
          <w:sz w:val="20"/>
          <w:szCs w:val="20"/>
        </w:rPr>
        <w:t>detect</w:t>
      </w:r>
      <w:r w:rsidR="00BC6B9A" w:rsidRPr="002E35F4">
        <w:rPr>
          <w:rFonts w:ascii="Times New Roman" w:hAnsi="Times New Roman" w:cs="Times New Roman"/>
          <w:sz w:val="20"/>
          <w:szCs w:val="20"/>
        </w:rPr>
        <w:t xml:space="preserve"> </w:t>
      </w:r>
      <w:r w:rsidR="002E35F4" w:rsidRPr="002E35F4">
        <w:rPr>
          <w:rFonts w:ascii="Times New Roman" w:hAnsi="Times New Roman" w:cs="Times New Roman"/>
          <w:sz w:val="20"/>
          <w:szCs w:val="20"/>
        </w:rPr>
        <w:t>CSI-RS transmission by UEs.</w:t>
      </w:r>
    </w:p>
    <w:p w14:paraId="28ACC7CC" w14:textId="77777777"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Aperiodic CSI-RS associated with the DCI format scheduling the PUSCH in NR has the scheduling flexibility already. Therefore, to reuse in NR-U can be supported. </w:t>
      </w:r>
    </w:p>
    <w:p w14:paraId="0779A1BF" w14:textId="073B052A" w:rsidR="00EF4286" w:rsidRPr="002E35F4" w:rsidRDefault="00EF4286" w:rsidP="00D54B63">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sidR="00AD3E61">
        <w:rPr>
          <w:rFonts w:ascii="Times New Roman" w:hAnsi="Times New Roman" w:cs="Times New Roman"/>
          <w:b/>
          <w:sz w:val="20"/>
          <w:szCs w:val="20"/>
        </w:rPr>
        <w:t>1</w:t>
      </w:r>
      <w:r w:rsidR="0096255F">
        <w:rPr>
          <w:rFonts w:ascii="Times New Roman" w:hAnsi="Times New Roman" w:cs="Times New Roman"/>
          <w:b/>
          <w:sz w:val="20"/>
          <w:szCs w:val="20"/>
        </w:rPr>
        <w:t>4</w:t>
      </w:r>
      <w:r w:rsidRPr="002E35F4">
        <w:rPr>
          <w:rFonts w:ascii="Times New Roman" w:hAnsi="Times New Roman" w:cs="Times New Roman"/>
          <w:b/>
          <w:sz w:val="20"/>
          <w:szCs w:val="20"/>
        </w:rPr>
        <w:t>: The timing of CSI-RS should be allowed to shift based on LBT outcome</w:t>
      </w:r>
    </w:p>
    <w:p w14:paraId="66EC899B" w14:textId="77777777" w:rsidR="00EF4286" w:rsidRPr="002E35F4" w:rsidRDefault="00EF4286" w:rsidP="00D54B63">
      <w:pPr>
        <w:pStyle w:val="BodyText"/>
        <w:spacing w:after="180"/>
        <w:rPr>
          <w:rFonts w:ascii="Times New Roman" w:hAnsi="Times New Roman" w:cs="Times New Roman"/>
          <w:sz w:val="20"/>
          <w:szCs w:val="20"/>
        </w:rPr>
      </w:pPr>
    </w:p>
    <w:p w14:paraId="1B67FCF7" w14:textId="77777777" w:rsidR="00EF4286" w:rsidRPr="002E35F4" w:rsidRDefault="00EF4286" w:rsidP="00D54B63">
      <w:pPr>
        <w:spacing w:after="180"/>
        <w:rPr>
          <w:rFonts w:ascii="Times New Roman" w:hAnsi="Times New Roman" w:cs="Times New Roman"/>
          <w:b/>
          <w:sz w:val="20"/>
          <w:szCs w:val="20"/>
          <w:u w:val="single"/>
          <w:lang w:val="en-AU"/>
        </w:rPr>
      </w:pPr>
      <w:r w:rsidRPr="002E35F4">
        <w:rPr>
          <w:rFonts w:ascii="Times New Roman" w:hAnsi="Times New Roman" w:cs="Times New Roman"/>
          <w:b/>
          <w:sz w:val="20"/>
          <w:szCs w:val="20"/>
          <w:u w:val="single"/>
          <w:lang w:val="en-AU"/>
        </w:rPr>
        <w:t>CSI reporting</w:t>
      </w:r>
    </w:p>
    <w:p w14:paraId="7F605AA8" w14:textId="0784B945"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CSI reporting could also be periodic, semi-persistent and aperiodic. Therefore, the </w:t>
      </w:r>
      <w:r w:rsidR="000C25F2" w:rsidRPr="002E35F4">
        <w:rPr>
          <w:rFonts w:ascii="Times New Roman" w:hAnsi="Times New Roman" w:cs="Times New Roman"/>
          <w:sz w:val="20"/>
          <w:szCs w:val="20"/>
        </w:rPr>
        <w:t xml:space="preserve">similar </w:t>
      </w:r>
      <w:r w:rsidRPr="002E35F4">
        <w:rPr>
          <w:rFonts w:ascii="Times New Roman" w:hAnsi="Times New Roman" w:cs="Times New Roman"/>
          <w:sz w:val="20"/>
          <w:szCs w:val="20"/>
        </w:rPr>
        <w:t>discussion as CSI-RS transmission could basically be applied. In addition, even if an aperiodic CSI-RS is successfully transmitted in gNB COT, the corresponding CSI reporting could be failed due to the interval time needed to prepare the reporting after receiving the CSI-RS transmission. As COT length is limited, the CSI reporting could be scheduled outside of the COT</w:t>
      </w:r>
      <w:r w:rsidR="000C25F2" w:rsidRPr="002E35F4">
        <w:rPr>
          <w:rFonts w:ascii="Times New Roman" w:hAnsi="Times New Roman" w:cs="Times New Roman"/>
          <w:sz w:val="20"/>
          <w:szCs w:val="20"/>
        </w:rPr>
        <w:t xml:space="preserve">, which </w:t>
      </w:r>
      <w:r w:rsidRPr="002E35F4">
        <w:rPr>
          <w:rFonts w:ascii="Times New Roman" w:hAnsi="Times New Roman" w:cs="Times New Roman"/>
          <w:sz w:val="20"/>
          <w:szCs w:val="20"/>
        </w:rPr>
        <w:t>correspond</w:t>
      </w:r>
      <w:r w:rsidR="000C25F2" w:rsidRPr="002E35F4">
        <w:rPr>
          <w:rFonts w:ascii="Times New Roman" w:hAnsi="Times New Roman" w:cs="Times New Roman"/>
          <w:sz w:val="20"/>
          <w:szCs w:val="20"/>
        </w:rPr>
        <w:t>s</w:t>
      </w:r>
      <w:r w:rsidRPr="002E35F4">
        <w:rPr>
          <w:rFonts w:ascii="Times New Roman" w:hAnsi="Times New Roman" w:cs="Times New Roman"/>
          <w:sz w:val="20"/>
          <w:szCs w:val="20"/>
        </w:rPr>
        <w:t xml:space="preserve"> </w:t>
      </w:r>
      <w:r w:rsidR="000C25F2" w:rsidRPr="002E35F4">
        <w:rPr>
          <w:rFonts w:ascii="Times New Roman" w:hAnsi="Times New Roman" w:cs="Times New Roman"/>
          <w:sz w:val="20"/>
          <w:szCs w:val="20"/>
        </w:rPr>
        <w:t xml:space="preserve">to previously triggered </w:t>
      </w:r>
      <w:r w:rsidRPr="002E35F4">
        <w:rPr>
          <w:rFonts w:ascii="Times New Roman" w:hAnsi="Times New Roman" w:cs="Times New Roman"/>
          <w:sz w:val="20"/>
          <w:szCs w:val="20"/>
        </w:rPr>
        <w:t>CSI-RS transmission</w:t>
      </w:r>
      <w:r w:rsidR="009760BD" w:rsidRPr="002E35F4">
        <w:rPr>
          <w:rFonts w:ascii="Times New Roman" w:hAnsi="Times New Roman" w:cs="Times New Roman"/>
          <w:sz w:val="20"/>
          <w:szCs w:val="20"/>
        </w:rPr>
        <w:t xml:space="preserve"> within the COT</w:t>
      </w:r>
      <w:r w:rsidRPr="002E35F4">
        <w:rPr>
          <w:rFonts w:ascii="Times New Roman" w:hAnsi="Times New Roman" w:cs="Times New Roman"/>
          <w:sz w:val="20"/>
          <w:szCs w:val="20"/>
        </w:rPr>
        <w:t xml:space="preserve">. In such a case, it could be beneficial to postpone the transmission of the CSI reporting to the next gNB obtained COT similar to HARQ-ACK/NACK discussion. </w:t>
      </w:r>
    </w:p>
    <w:p w14:paraId="2E82D173" w14:textId="04AF4FFE" w:rsidR="00EF4286" w:rsidRPr="002E35F4" w:rsidRDefault="00EF4286" w:rsidP="00D54B63">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sidR="00AD3E61">
        <w:rPr>
          <w:rFonts w:ascii="Times New Roman" w:hAnsi="Times New Roman" w:cs="Times New Roman"/>
          <w:b/>
          <w:sz w:val="20"/>
          <w:szCs w:val="20"/>
        </w:rPr>
        <w:t>1</w:t>
      </w:r>
      <w:r w:rsidR="0096255F">
        <w:rPr>
          <w:rFonts w:ascii="Times New Roman" w:hAnsi="Times New Roman" w:cs="Times New Roman"/>
          <w:b/>
          <w:sz w:val="20"/>
          <w:szCs w:val="20"/>
        </w:rPr>
        <w:t>5</w:t>
      </w:r>
      <w:r w:rsidRPr="002E35F4">
        <w:rPr>
          <w:rFonts w:ascii="Times New Roman" w:hAnsi="Times New Roman" w:cs="Times New Roman"/>
          <w:b/>
          <w:sz w:val="20"/>
          <w:szCs w:val="20"/>
        </w:rPr>
        <w:t xml:space="preserve">: To postpone the aperiodic CSI reporting to the next COT </w:t>
      </w:r>
      <w:r w:rsidR="0094423C">
        <w:rPr>
          <w:rFonts w:ascii="Times New Roman" w:hAnsi="Times New Roman" w:cs="Times New Roman"/>
          <w:b/>
          <w:sz w:val="20"/>
          <w:szCs w:val="20"/>
        </w:rPr>
        <w:t>should be supported</w:t>
      </w:r>
      <w:r w:rsidRPr="002E35F4">
        <w:rPr>
          <w:rFonts w:ascii="Times New Roman" w:hAnsi="Times New Roman" w:cs="Times New Roman"/>
          <w:b/>
          <w:sz w:val="20"/>
          <w:szCs w:val="20"/>
        </w:rPr>
        <w:t>.</w:t>
      </w:r>
    </w:p>
    <w:p w14:paraId="4E047FCD" w14:textId="77777777" w:rsidR="00C30237" w:rsidRPr="002E35F4" w:rsidRDefault="00C30237" w:rsidP="001632FD">
      <w:pPr>
        <w:pStyle w:val="BodyText"/>
        <w:rPr>
          <w:rFonts w:ascii="Times New Roman" w:hAnsi="Times New Roman" w:cs="Times New Roman"/>
          <w:b/>
          <w:bCs/>
          <w:sz w:val="20"/>
          <w:szCs w:val="20"/>
        </w:rPr>
      </w:pPr>
    </w:p>
    <w:p w14:paraId="357BA1E3" w14:textId="3E09A0E6" w:rsidR="004B155E" w:rsidRPr="00DC33E4" w:rsidRDefault="004B155E" w:rsidP="004B155E">
      <w:pPr>
        <w:pStyle w:val="Heading1"/>
        <w:rPr>
          <w:lang w:val="en-US"/>
        </w:rPr>
      </w:pPr>
      <w:r>
        <w:rPr>
          <w:lang w:val="en-US"/>
        </w:rPr>
        <w:t>Conclusion</w:t>
      </w:r>
    </w:p>
    <w:p w14:paraId="4B4C258C" w14:textId="40FABCD8" w:rsidR="004B155E" w:rsidRDefault="004B155E" w:rsidP="00D54B63">
      <w:pPr>
        <w:pStyle w:val="Proposal"/>
        <w:numPr>
          <w:ilvl w:val="0"/>
          <w:numId w:val="0"/>
        </w:numPr>
        <w:spacing w:after="180"/>
        <w:rPr>
          <w:rFonts w:ascii="Times New Roman" w:hAnsi="Times New Roman" w:cs="Times New Roman"/>
          <w:b w:val="0"/>
          <w:bCs w:val="0"/>
          <w:sz w:val="20"/>
        </w:rPr>
      </w:pPr>
      <w:r w:rsidRPr="002E35F4">
        <w:rPr>
          <w:rFonts w:ascii="Times New Roman" w:hAnsi="Times New Roman" w:cs="Times New Roman"/>
          <w:b w:val="0"/>
          <w:bCs w:val="0"/>
          <w:sz w:val="20"/>
        </w:rPr>
        <w:t xml:space="preserve">Based on the discussion, we propose following. </w:t>
      </w:r>
    </w:p>
    <w:p w14:paraId="6642771C" w14:textId="77777777" w:rsidR="007E6BB3" w:rsidRDefault="007E6BB3" w:rsidP="007E6BB3">
      <w:pPr>
        <w:spacing w:after="180"/>
        <w:rPr>
          <w:rFonts w:ascii="Times New Roman" w:hAnsi="Times New Roman" w:cs="Times New Roman"/>
          <w:b/>
          <w:sz w:val="20"/>
        </w:rPr>
      </w:pPr>
      <w:r w:rsidRPr="002E35F4">
        <w:rPr>
          <w:rFonts w:ascii="Times New Roman" w:hAnsi="Times New Roman" w:cs="Times New Roman"/>
          <w:b/>
          <w:sz w:val="20"/>
        </w:rPr>
        <w:t>Proposal 1: COT structure in time domain defines which symbols are DL, UL, and Flexible for one or a few slots, similar to Rel-15 Slot Format Indication.</w:t>
      </w:r>
    </w:p>
    <w:p w14:paraId="1EE04E0E" w14:textId="77777777" w:rsidR="007E6BB3" w:rsidRPr="002E35F4" w:rsidRDefault="007E6BB3" w:rsidP="007E6BB3">
      <w:pPr>
        <w:spacing w:after="180"/>
        <w:rPr>
          <w:rFonts w:ascii="Times New Roman" w:hAnsi="Times New Roman" w:cs="Times New Roman"/>
          <w:sz w:val="20"/>
          <w:lang w:val="en-AU"/>
        </w:rPr>
      </w:pPr>
      <w:r>
        <w:rPr>
          <w:rFonts w:ascii="Times New Roman" w:hAnsi="Times New Roman" w:cs="Times New Roman"/>
          <w:b/>
          <w:sz w:val="20"/>
        </w:rPr>
        <w:tab/>
        <w:t xml:space="preserve">- all symbols are semi-static flexible in unlicensed option </w:t>
      </w:r>
    </w:p>
    <w:p w14:paraId="0439423A" w14:textId="77777777" w:rsidR="007E6BB3" w:rsidRDefault="007E6BB3" w:rsidP="007E6BB3">
      <w:pPr>
        <w:spacing w:after="180"/>
        <w:rPr>
          <w:rFonts w:ascii="Times New Roman" w:hAnsi="Times New Roman" w:cs="Times New Roman"/>
          <w:sz w:val="20"/>
        </w:rPr>
      </w:pPr>
      <w:r>
        <w:rPr>
          <w:rFonts w:ascii="Times New Roman" w:hAnsi="Times New Roman" w:cs="Times New Roman"/>
          <w:b/>
          <w:sz w:val="20"/>
        </w:rPr>
        <w:t>Proposal 2</w:t>
      </w:r>
      <w:r w:rsidRPr="002E35F4">
        <w:rPr>
          <w:rFonts w:ascii="Times New Roman" w:hAnsi="Times New Roman" w:cs="Times New Roman"/>
          <w:b/>
          <w:sz w:val="20"/>
        </w:rPr>
        <w:t xml:space="preserve">: </w:t>
      </w:r>
      <w:r>
        <w:rPr>
          <w:rFonts w:ascii="Times New Roman" w:hAnsi="Times New Roman" w:cs="Times New Roman"/>
          <w:b/>
          <w:sz w:val="20"/>
        </w:rPr>
        <w:t>COT duration indication has slot-level granularity in Rel-16.</w:t>
      </w:r>
    </w:p>
    <w:p w14:paraId="18094D98" w14:textId="784CF34C" w:rsidR="007E6BB3" w:rsidRDefault="007E6BB3" w:rsidP="007E6BB3">
      <w:pPr>
        <w:spacing w:after="180"/>
        <w:rPr>
          <w:rFonts w:ascii="Times New Roman" w:hAnsi="Times New Roman" w:cs="Times New Roman"/>
          <w:b/>
          <w:sz w:val="20"/>
        </w:rPr>
      </w:pPr>
      <w:r w:rsidRPr="00AA24B3">
        <w:rPr>
          <w:rFonts w:ascii="Times New Roman" w:hAnsi="Times New Roman" w:cs="Times New Roman"/>
          <w:b/>
          <w:sz w:val="20"/>
        </w:rPr>
        <w:t>Proposal 3: COT duration shoul</w:t>
      </w:r>
      <w:r w:rsidRPr="005C1F7D">
        <w:rPr>
          <w:rFonts w:ascii="Times New Roman" w:hAnsi="Times New Roman" w:cs="Times New Roman"/>
          <w:b/>
          <w:sz w:val="20"/>
        </w:rPr>
        <w:t>d be able to dynamically update</w:t>
      </w:r>
      <w:r w:rsidRPr="00AA24B3">
        <w:rPr>
          <w:rFonts w:ascii="Times New Roman" w:hAnsi="Times New Roman" w:cs="Times New Roman"/>
          <w:b/>
          <w:sz w:val="20"/>
        </w:rPr>
        <w:t>.</w:t>
      </w:r>
    </w:p>
    <w:p w14:paraId="01D75D74" w14:textId="77777777" w:rsidR="007E6BB3" w:rsidRDefault="007E6BB3" w:rsidP="007E6BB3">
      <w:pPr>
        <w:pStyle w:val="BodyText"/>
        <w:spacing w:after="180"/>
        <w:rPr>
          <w:rFonts w:ascii="Times New Roman" w:hAnsi="Times New Roman" w:cs="Times New Roman"/>
          <w:b/>
          <w:sz w:val="20"/>
        </w:rPr>
      </w:pPr>
      <w:r>
        <w:rPr>
          <w:rFonts w:ascii="Times New Roman" w:hAnsi="Times New Roman" w:cs="Times New Roman"/>
          <w:b/>
          <w:sz w:val="20"/>
        </w:rPr>
        <w:t>Proposal 4: One GC-PDCCH indicates SFI for a few consecutive slots, which contents partially overlapping to improve the robustness.</w:t>
      </w:r>
      <w:r w:rsidRPr="002E35F4">
        <w:rPr>
          <w:rFonts w:ascii="Times New Roman" w:hAnsi="Times New Roman" w:cs="Times New Roman"/>
          <w:b/>
          <w:sz w:val="20"/>
        </w:rPr>
        <w:t xml:space="preserve">  </w:t>
      </w:r>
    </w:p>
    <w:p w14:paraId="1B693883" w14:textId="77777777" w:rsidR="007E6BB3" w:rsidRDefault="007E6BB3" w:rsidP="007E6BB3">
      <w:pPr>
        <w:pStyle w:val="BodyText"/>
        <w:spacing w:after="180"/>
        <w:rPr>
          <w:rFonts w:ascii="Times New Roman" w:hAnsi="Times New Roman" w:cs="Times New Roman"/>
          <w:b/>
          <w:sz w:val="20"/>
        </w:rPr>
      </w:pPr>
      <w:r>
        <w:rPr>
          <w:rFonts w:ascii="Times New Roman" w:hAnsi="Times New Roman" w:cs="Times New Roman"/>
          <w:b/>
          <w:sz w:val="20"/>
        </w:rPr>
        <w:t>Proposal 5: LBT category and gap duration can be indicated in the GC-PDCCH carrying COT structure.</w:t>
      </w:r>
      <w:r w:rsidRPr="002E35F4">
        <w:rPr>
          <w:rFonts w:ascii="Times New Roman" w:hAnsi="Times New Roman" w:cs="Times New Roman"/>
          <w:b/>
          <w:sz w:val="20"/>
        </w:rPr>
        <w:t xml:space="preserve">  </w:t>
      </w:r>
    </w:p>
    <w:p w14:paraId="7D413A0F" w14:textId="77777777" w:rsidR="007E6BB3" w:rsidRPr="002E35F4" w:rsidRDefault="007E6BB3" w:rsidP="007E6BB3">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Pr>
          <w:rFonts w:ascii="Times New Roman" w:hAnsi="Times New Roman" w:cs="Times New Roman"/>
          <w:b/>
          <w:sz w:val="20"/>
        </w:rPr>
        <w:t>6</w:t>
      </w:r>
      <w:r w:rsidRPr="002E35F4">
        <w:rPr>
          <w:rFonts w:ascii="Times New Roman" w:hAnsi="Times New Roman" w:cs="Times New Roman"/>
          <w:b/>
          <w:sz w:val="20"/>
        </w:rPr>
        <w:t xml:space="preserve">: </w:t>
      </w:r>
      <w:r>
        <w:rPr>
          <w:rFonts w:ascii="Times New Roman" w:hAnsi="Times New Roman" w:cs="Times New Roman"/>
          <w:b/>
          <w:sz w:val="20"/>
        </w:rPr>
        <w:t>UE may assume the presence of a wideband DMRS associated with the CORESET monitored before identifying COT to detect the transmission bursts by the serving gNB for power saving purpose</w:t>
      </w:r>
      <w:r w:rsidRPr="002E35F4">
        <w:rPr>
          <w:rFonts w:ascii="Times New Roman" w:hAnsi="Times New Roman" w:cs="Times New Roman"/>
          <w:b/>
          <w:sz w:val="20"/>
        </w:rPr>
        <w:t xml:space="preserve">. </w:t>
      </w:r>
    </w:p>
    <w:p w14:paraId="768FDE0E" w14:textId="77777777" w:rsidR="007E6BB3" w:rsidRDefault="007E6BB3" w:rsidP="007E6BB3">
      <w:pPr>
        <w:pStyle w:val="BodyText"/>
        <w:spacing w:after="180"/>
        <w:rPr>
          <w:rFonts w:ascii="Times New Roman" w:hAnsi="Times New Roman"/>
          <w:b/>
          <w:sz w:val="20"/>
        </w:rPr>
      </w:pPr>
      <w:r>
        <w:rPr>
          <w:rFonts w:ascii="Times New Roman" w:hAnsi="Times New Roman" w:cs="Times New Roman"/>
          <w:b/>
          <w:sz w:val="20"/>
        </w:rPr>
        <w:t xml:space="preserve">Proposal 7: </w:t>
      </w:r>
      <w:r w:rsidRPr="007B7DEB">
        <w:rPr>
          <w:rFonts w:ascii="Times New Roman" w:hAnsi="Times New Roman" w:cs="Times New Roman"/>
          <w:b/>
          <w:sz w:val="20"/>
        </w:rPr>
        <w:t xml:space="preserve">More than two groups </w:t>
      </w:r>
      <w:r>
        <w:rPr>
          <w:rFonts w:ascii="Times New Roman" w:hAnsi="Times New Roman" w:cs="Times New Roman"/>
          <w:b/>
          <w:sz w:val="20"/>
        </w:rPr>
        <w:t xml:space="preserve">of search space sets </w:t>
      </w:r>
      <w:r w:rsidRPr="007B7DEB">
        <w:rPr>
          <w:rFonts w:ascii="Times New Roman" w:hAnsi="Times New Roman" w:cs="Times New Roman"/>
          <w:b/>
          <w:sz w:val="20"/>
        </w:rPr>
        <w:t>should be supported for the configuration.</w:t>
      </w:r>
    </w:p>
    <w:p w14:paraId="36026056" w14:textId="77777777" w:rsidR="007E6BB3" w:rsidRDefault="007E6BB3" w:rsidP="007E6BB3">
      <w:pPr>
        <w:pStyle w:val="BodyText"/>
        <w:spacing w:after="180"/>
        <w:rPr>
          <w:rFonts w:ascii="Times New Roman" w:hAnsi="Times New Roman" w:cs="Times New Roman"/>
          <w:b/>
          <w:sz w:val="20"/>
        </w:rPr>
      </w:pPr>
      <w:r>
        <w:rPr>
          <w:rFonts w:ascii="Times New Roman" w:hAnsi="Times New Roman" w:cs="Times New Roman"/>
          <w:b/>
          <w:sz w:val="20"/>
        </w:rPr>
        <w:t>Proposal 8: Group switching only occurs at the slot boundary.</w:t>
      </w:r>
    </w:p>
    <w:p w14:paraId="60E35053" w14:textId="103BD37E" w:rsidR="007E6BB3" w:rsidRDefault="007E6BB3" w:rsidP="007E6BB3">
      <w:r>
        <w:rPr>
          <w:rFonts w:ascii="Times New Roman" w:hAnsi="Times New Roman" w:cs="Times New Roman"/>
          <w:b/>
          <w:sz w:val="20"/>
        </w:rPr>
        <w:t>Proposal 9: Al</w:t>
      </w:r>
      <w:r w:rsidR="005809A5">
        <w:rPr>
          <w:rFonts w:ascii="Times New Roman" w:hAnsi="Times New Roman" w:cs="Times New Roman"/>
          <w:b/>
          <w:sz w:val="20"/>
        </w:rPr>
        <w:t>t</w:t>
      </w:r>
      <w:r>
        <w:rPr>
          <w:rFonts w:ascii="Times New Roman" w:hAnsi="Times New Roman" w:cs="Times New Roman"/>
          <w:b/>
          <w:sz w:val="20"/>
        </w:rPr>
        <w:t>-1 (implicit indication of group switching) is supported.</w:t>
      </w:r>
    </w:p>
    <w:p w14:paraId="1466EAD6" w14:textId="77777777" w:rsidR="007E6BB3" w:rsidRDefault="007E6BB3" w:rsidP="007E6BB3">
      <w:pPr>
        <w:pStyle w:val="BodyText"/>
        <w:spacing w:after="180"/>
        <w:rPr>
          <w:rFonts w:ascii="Times New Roman" w:hAnsi="Times New Roman" w:cs="Times New Roman"/>
          <w:b/>
          <w:sz w:val="20"/>
        </w:rPr>
      </w:pPr>
      <w:r>
        <w:rPr>
          <w:rFonts w:ascii="Times New Roman" w:hAnsi="Times New Roman" w:cs="Times New Roman"/>
          <w:b/>
          <w:sz w:val="20"/>
        </w:rPr>
        <w:t>Proposal 10: Grouping can also be applied to group-common search space set including the case for DCI format 2_0.</w:t>
      </w:r>
    </w:p>
    <w:p w14:paraId="6E2B8B46" w14:textId="00251D4E" w:rsidR="007E6BB3" w:rsidRPr="007E6BB3" w:rsidRDefault="007E6BB3" w:rsidP="0096255F">
      <w:pPr>
        <w:rPr>
          <w:rFonts w:ascii="Times New Roman" w:hAnsi="Times New Roman" w:cs="Times New Roman"/>
          <w:b/>
          <w:bCs/>
          <w:sz w:val="20"/>
        </w:rPr>
      </w:pPr>
      <w:r w:rsidRPr="00537854">
        <w:rPr>
          <w:rFonts w:ascii="Times New Roman" w:hAnsi="Times New Roman" w:cs="Times New Roman"/>
          <w:b/>
          <w:sz w:val="20"/>
        </w:rPr>
        <w:t xml:space="preserve">Proposal 11: A fall-back group is configured to the UE which can be used after a gap of no PDCCH monitoring due to DRX off or UL transmission.  </w:t>
      </w:r>
    </w:p>
    <w:p w14:paraId="242E2B6F" w14:textId="44C826E0" w:rsidR="00735ADB" w:rsidRPr="002E35F4" w:rsidRDefault="00735ADB" w:rsidP="00735ADB">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96255F">
        <w:rPr>
          <w:rFonts w:ascii="Times New Roman" w:hAnsi="Times New Roman" w:cs="Times New Roman"/>
          <w:b/>
          <w:sz w:val="20"/>
        </w:rPr>
        <w:t>12</w:t>
      </w:r>
      <w:r w:rsidRPr="002E35F4">
        <w:rPr>
          <w:rFonts w:ascii="Times New Roman" w:hAnsi="Times New Roman" w:cs="Times New Roman"/>
          <w:b/>
          <w:sz w:val="20"/>
        </w:rPr>
        <w:t xml:space="preserve">: NR-U DMRS position for PDSCH mapping type B of additionally supported durations </w:t>
      </w:r>
      <w:r>
        <w:rPr>
          <w:rFonts w:ascii="Times New Roman" w:hAnsi="Times New Roman" w:cs="Times New Roman"/>
          <w:b/>
          <w:sz w:val="20"/>
        </w:rPr>
        <w:t xml:space="preserve">(except 9/10) </w:t>
      </w:r>
      <w:r w:rsidRPr="002E35F4">
        <w:rPr>
          <w:rFonts w:ascii="Times New Roman" w:hAnsi="Times New Roman" w:cs="Times New Roman"/>
          <w:b/>
          <w:sz w:val="20"/>
        </w:rPr>
        <w:t>is specified based on the Rel-15 DMRS position for PUSCH mapping type B of the corresponding length.</w:t>
      </w:r>
    </w:p>
    <w:p w14:paraId="7D66B510" w14:textId="1F07D435" w:rsidR="00735ADB" w:rsidRPr="000514D1" w:rsidRDefault="00735ADB" w:rsidP="00735ADB">
      <w:pPr>
        <w:pStyle w:val="BodyText"/>
        <w:spacing w:after="180"/>
        <w:rPr>
          <w:b/>
        </w:rPr>
      </w:pPr>
      <w:r w:rsidRPr="007A0605">
        <w:rPr>
          <w:rFonts w:ascii="Times New Roman" w:eastAsia="MS Mincho" w:hAnsi="Times New Roman" w:cs="Times New Roman"/>
          <w:b/>
          <w:sz w:val="20"/>
          <w:szCs w:val="20"/>
        </w:rPr>
        <w:t xml:space="preserve">Proposal </w:t>
      </w:r>
      <w:r>
        <w:rPr>
          <w:rFonts w:ascii="Times New Roman" w:eastAsia="MS Mincho" w:hAnsi="Times New Roman" w:cs="Times New Roman"/>
          <w:b/>
          <w:sz w:val="20"/>
          <w:szCs w:val="20"/>
        </w:rPr>
        <w:t>1</w:t>
      </w:r>
      <w:r w:rsidR="0096255F">
        <w:rPr>
          <w:rFonts w:ascii="Times New Roman" w:eastAsia="MS Mincho" w:hAnsi="Times New Roman" w:cs="Times New Roman"/>
          <w:b/>
          <w:sz w:val="20"/>
          <w:szCs w:val="20"/>
        </w:rPr>
        <w:t>3</w:t>
      </w:r>
      <w:r w:rsidRPr="007A0605">
        <w:rPr>
          <w:rFonts w:ascii="Times New Roman" w:eastAsia="MS Mincho" w:hAnsi="Times New Roman" w:cs="Times New Roman"/>
          <w:b/>
          <w:sz w:val="20"/>
          <w:szCs w:val="20"/>
        </w:rPr>
        <w:t xml:space="preserve">: </w:t>
      </w:r>
      <w:r w:rsidRPr="006751D8">
        <w:rPr>
          <w:rFonts w:ascii="Times New Roman" w:eastAsia="MS Mincho" w:hAnsi="Times New Roman" w:cs="Times New Roman"/>
          <w:b/>
          <w:sz w:val="20"/>
          <w:szCs w:val="20"/>
        </w:rPr>
        <w:t xml:space="preserve">If the PDSCH duration </w:t>
      </w:r>
      <m:oMath>
        <m:sSub>
          <m:sSubPr>
            <m:ctrlPr>
              <w:rPr>
                <w:rFonts w:ascii="Cambria Math" w:eastAsia="Times New Roman" w:hAnsi="Cambria Math"/>
                <w:i/>
                <w:sz w:val="20"/>
                <w:szCs w:val="20"/>
              </w:rPr>
            </m:ctrlPr>
          </m:sSubPr>
          <m:e>
            <m:r>
              <m:rPr>
                <m:sty m:val="bi"/>
              </m:rPr>
              <w:rPr>
                <w:rFonts w:ascii="Cambria Math" w:eastAsia="Times New Roman" w:hAnsi="Cambria Math"/>
                <w:sz w:val="20"/>
                <w:szCs w:val="20"/>
              </w:rPr>
              <m:t>l</m:t>
            </m:r>
          </m:e>
          <m:sub>
            <m:r>
              <m:rPr>
                <m:nor/>
              </m:rPr>
              <w:rPr>
                <w:rFonts w:ascii="Cambria Math" w:eastAsia="Times New Roman" w:hAnsi="Cambria Math"/>
                <w:b/>
                <w:sz w:val="20"/>
                <w:szCs w:val="20"/>
              </w:rPr>
              <m:t>d</m:t>
            </m:r>
          </m:sub>
        </m:sSub>
      </m:oMath>
      <w:r w:rsidRPr="006751D8">
        <w:rPr>
          <w:rFonts w:ascii="Times New Roman" w:eastAsia="MS Mincho" w:hAnsi="Times New Roman" w:cs="Times New Roman"/>
          <w:b/>
          <w:sz w:val="20"/>
          <w:szCs w:val="20"/>
        </w:rPr>
        <w:t xml:space="preserve"> is 10 OFDM symbols for normal cyclic prefix, and if </w:t>
      </w:r>
      <w:r w:rsidRPr="007A0605">
        <w:rPr>
          <w:rFonts w:ascii="Times New Roman" w:hAnsi="Times New Roman"/>
          <w:b/>
          <w:sz w:val="20"/>
          <w:szCs w:val="20"/>
        </w:rPr>
        <w:t>any LTE-CRS rate-matching pattern is configured</w:t>
      </w:r>
      <w:r w:rsidRPr="006751D8">
        <w:rPr>
          <w:rFonts w:ascii="Times New Roman" w:eastAsia="MS Mincho" w:hAnsi="Times New Roman" w:cs="Times New Roman"/>
          <w:b/>
          <w:sz w:val="20"/>
          <w:szCs w:val="20"/>
        </w:rPr>
        <w:t xml:space="preserve">, </w:t>
      </w:r>
      <w:r w:rsidRPr="007A0605">
        <w:rPr>
          <w:rFonts w:ascii="Times" w:eastAsia="Batang" w:hAnsi="Times"/>
          <w:position w:val="-6"/>
          <w:sz w:val="20"/>
          <w:szCs w:val="20"/>
        </w:rPr>
        <w:object w:dxaOrig="160" w:dyaOrig="300" w14:anchorId="7CF5D12D">
          <v:shape id="_x0000_i1108" type="#_x0000_t75" style="width:8.15pt;height:15pt" o:ole="">
            <v:imagedata r:id="rId14" o:title=""/>
          </v:shape>
          <o:OLEObject Type="Embed" ProgID="Equation.3" ShapeID="_x0000_i1108" DrawAspect="Content" ObjectID="_1634728616" r:id="rId102"/>
        </w:object>
      </w:r>
      <w:r w:rsidRPr="006751D8">
        <w:rPr>
          <w:rFonts w:ascii="Times New Roman" w:eastAsia="MS Mincho" w:hAnsi="Times New Roman" w:cs="Times New Roman"/>
          <w:b/>
          <w:sz w:val="20"/>
          <w:szCs w:val="20"/>
        </w:rPr>
        <w:t xml:space="preserve"> shall be incremented by 1</w:t>
      </w:r>
      <w:r w:rsidRPr="00C31584">
        <w:rPr>
          <w:rFonts w:ascii="Times New Roman" w:eastAsia="MS Mincho" w:hAnsi="Times New Roman" w:cs="Times New Roman"/>
          <w:b/>
          <w:sz w:val="20"/>
          <w:szCs w:val="20"/>
        </w:rPr>
        <w:t>.</w:t>
      </w:r>
    </w:p>
    <w:p w14:paraId="771E7289" w14:textId="0A13731B" w:rsidR="00735ADB" w:rsidRPr="002E35F4" w:rsidRDefault="00735ADB" w:rsidP="00735ADB">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Pr>
          <w:rFonts w:ascii="Times New Roman" w:hAnsi="Times New Roman" w:cs="Times New Roman"/>
          <w:b/>
          <w:sz w:val="20"/>
          <w:szCs w:val="20"/>
        </w:rPr>
        <w:t>1</w:t>
      </w:r>
      <w:r w:rsidR="0096255F">
        <w:rPr>
          <w:rFonts w:ascii="Times New Roman" w:hAnsi="Times New Roman" w:cs="Times New Roman"/>
          <w:b/>
          <w:sz w:val="20"/>
          <w:szCs w:val="20"/>
        </w:rPr>
        <w:t>4</w:t>
      </w:r>
      <w:r w:rsidRPr="002E35F4">
        <w:rPr>
          <w:rFonts w:ascii="Times New Roman" w:hAnsi="Times New Roman" w:cs="Times New Roman"/>
          <w:b/>
          <w:sz w:val="20"/>
          <w:szCs w:val="20"/>
        </w:rPr>
        <w:t>: The timing of CSI-RS should be allowed to shift based on LBT outcome</w:t>
      </w:r>
    </w:p>
    <w:p w14:paraId="3F3C5DEB" w14:textId="45323E7D" w:rsidR="00735ADB" w:rsidRPr="002E35F4" w:rsidRDefault="00735ADB" w:rsidP="00735ADB">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Pr>
          <w:rFonts w:ascii="Times New Roman" w:hAnsi="Times New Roman" w:cs="Times New Roman"/>
          <w:b/>
          <w:sz w:val="20"/>
          <w:szCs w:val="20"/>
        </w:rPr>
        <w:t>1</w:t>
      </w:r>
      <w:r w:rsidR="0096255F">
        <w:rPr>
          <w:rFonts w:ascii="Times New Roman" w:hAnsi="Times New Roman" w:cs="Times New Roman"/>
          <w:b/>
          <w:sz w:val="20"/>
          <w:szCs w:val="20"/>
        </w:rPr>
        <w:t>5</w:t>
      </w:r>
      <w:r w:rsidRPr="002E35F4">
        <w:rPr>
          <w:rFonts w:ascii="Times New Roman" w:hAnsi="Times New Roman" w:cs="Times New Roman"/>
          <w:b/>
          <w:sz w:val="20"/>
          <w:szCs w:val="20"/>
        </w:rPr>
        <w:t xml:space="preserve">: To postpone the aperiodic CSI reporting to the next COT </w:t>
      </w:r>
      <w:r>
        <w:rPr>
          <w:rFonts w:ascii="Times New Roman" w:hAnsi="Times New Roman" w:cs="Times New Roman"/>
          <w:b/>
          <w:sz w:val="20"/>
          <w:szCs w:val="20"/>
        </w:rPr>
        <w:t>should be supported</w:t>
      </w:r>
      <w:r w:rsidRPr="002E35F4">
        <w:rPr>
          <w:rFonts w:ascii="Times New Roman" w:hAnsi="Times New Roman" w:cs="Times New Roman"/>
          <w:b/>
          <w:sz w:val="20"/>
          <w:szCs w:val="20"/>
        </w:rPr>
        <w:t>.</w:t>
      </w:r>
    </w:p>
    <w:p w14:paraId="280F3068" w14:textId="77777777" w:rsidR="00735ADB" w:rsidRDefault="00735ADB" w:rsidP="00EC2BDB">
      <w:pPr>
        <w:spacing w:after="180"/>
        <w:rPr>
          <w:rFonts w:ascii="Times New Roman" w:hAnsi="Times New Roman" w:cs="Times New Roman"/>
          <w:b/>
          <w:sz w:val="20"/>
        </w:rPr>
      </w:pPr>
    </w:p>
    <w:p w14:paraId="57EDA278" w14:textId="6112C039" w:rsidR="00171B79" w:rsidRPr="002E35F4" w:rsidRDefault="00171B79" w:rsidP="001F718F">
      <w:pPr>
        <w:pStyle w:val="Reference"/>
        <w:ind w:left="567" w:hanging="567"/>
        <w:rPr>
          <w:rFonts w:ascii="Times New Roman" w:hAnsi="Times New Roman" w:cs="Times New Roman"/>
          <w:sz w:val="20"/>
        </w:rPr>
      </w:pPr>
    </w:p>
    <w:p w14:paraId="212BBD81" w14:textId="158C8601" w:rsidR="00BF204E" w:rsidRPr="00DC33E4" w:rsidRDefault="00BF204E" w:rsidP="00BF204E">
      <w:pPr>
        <w:pStyle w:val="Heading1"/>
        <w:rPr>
          <w:lang w:val="en-US"/>
        </w:rPr>
      </w:pPr>
      <w:r>
        <w:rPr>
          <w:lang w:val="en-US"/>
        </w:rPr>
        <w:t>Reference</w:t>
      </w:r>
    </w:p>
    <w:p w14:paraId="12B58E10" w14:textId="268A61E4" w:rsidR="00BF204E" w:rsidRPr="002E35F4" w:rsidRDefault="00BF204E"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[1] R1-</w:t>
      </w:r>
      <w:r w:rsidR="002B556E" w:rsidRPr="002E35F4">
        <w:rPr>
          <w:rFonts w:ascii="Times New Roman" w:hAnsi="Times New Roman" w:cs="Times New Roman"/>
          <w:sz w:val="20"/>
        </w:rPr>
        <w:t>19</w:t>
      </w:r>
      <w:r w:rsidR="005C341E">
        <w:rPr>
          <w:rFonts w:ascii="Times New Roman" w:hAnsi="Times New Roman" w:cs="Times New Roman"/>
          <w:sz w:val="20"/>
        </w:rPr>
        <w:t>11243</w:t>
      </w:r>
      <w:r w:rsidR="0010073A" w:rsidRPr="002E35F4">
        <w:rPr>
          <w:rFonts w:ascii="Times New Roman" w:hAnsi="Times New Roman" w:cs="Times New Roman"/>
          <w:sz w:val="20"/>
        </w:rPr>
        <w:t xml:space="preserve">, </w:t>
      </w:r>
      <w:r w:rsidR="005C341E">
        <w:rPr>
          <w:rFonts w:ascii="Times New Roman" w:hAnsi="Times New Roman" w:cs="Times New Roman"/>
          <w:sz w:val="20"/>
        </w:rPr>
        <w:t>DL signals and channels</w:t>
      </w:r>
      <w:r w:rsidRPr="002E35F4">
        <w:rPr>
          <w:rFonts w:ascii="Times New Roman" w:hAnsi="Times New Roman" w:cs="Times New Roman"/>
          <w:sz w:val="20"/>
        </w:rPr>
        <w:t xml:space="preserve"> </w:t>
      </w:r>
      <w:r w:rsidR="005C341E">
        <w:rPr>
          <w:rFonts w:ascii="Times New Roman" w:hAnsi="Times New Roman" w:cs="Times New Roman"/>
          <w:sz w:val="20"/>
        </w:rPr>
        <w:t>for</w:t>
      </w:r>
      <w:r w:rsidRPr="002E35F4">
        <w:rPr>
          <w:rFonts w:ascii="Times New Roman" w:hAnsi="Times New Roman" w:cs="Times New Roman"/>
          <w:sz w:val="20"/>
        </w:rPr>
        <w:t xml:space="preserve"> NR unlicensed</w:t>
      </w:r>
      <w:r w:rsidR="0010073A" w:rsidRPr="002E35F4">
        <w:rPr>
          <w:rFonts w:ascii="Times New Roman" w:hAnsi="Times New Roman" w:cs="Times New Roman"/>
          <w:sz w:val="20"/>
        </w:rPr>
        <w:t>, Panasonic, RAN1#98</w:t>
      </w:r>
      <w:r w:rsidR="005C341E">
        <w:rPr>
          <w:rFonts w:ascii="Times New Roman" w:hAnsi="Times New Roman" w:cs="Times New Roman"/>
          <w:sz w:val="20"/>
        </w:rPr>
        <w:t>bis</w:t>
      </w:r>
    </w:p>
    <w:p w14:paraId="6B617B87" w14:textId="523846DE" w:rsidR="00780ECB" w:rsidRPr="002E35F4" w:rsidRDefault="00780ECB" w:rsidP="00D54B63">
      <w:pPr>
        <w:pStyle w:val="Reference"/>
        <w:spacing w:after="180"/>
        <w:ind w:left="567" w:hanging="567"/>
        <w:rPr>
          <w:rFonts w:ascii="Times New Roman" w:hAnsi="Times New Roman" w:cs="Times New Roman"/>
          <w:sz w:val="20"/>
        </w:rPr>
      </w:pPr>
      <w:bookmarkStart w:id="3" w:name="_GoBack"/>
      <w:bookmarkEnd w:id="3"/>
    </w:p>
    <w:sectPr w:rsidR="00780ECB" w:rsidRPr="002E35F4">
      <w:headerReference w:type="even" r:id="rId103"/>
      <w:footerReference w:type="default" r:id="rId10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387F29" w16cid:durableId="216C5815"/>
  <w16cid:commentId w16cid:paraId="1E1609E1" w16cid:durableId="216D37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3E3F5" w14:textId="77777777" w:rsidR="00C37BFD" w:rsidRDefault="00C37BFD">
      <w:r>
        <w:separator/>
      </w:r>
    </w:p>
  </w:endnote>
  <w:endnote w:type="continuationSeparator" w:id="0">
    <w:p w14:paraId="2CA7C271" w14:textId="77777777" w:rsidR="00C37BFD" w:rsidRDefault="00C37BFD">
      <w:r>
        <w:continuationSeparator/>
      </w:r>
    </w:p>
  </w:endnote>
  <w:endnote w:type="continuationNotice" w:id="1">
    <w:p w14:paraId="0596F98D" w14:textId="77777777" w:rsidR="00C37BFD" w:rsidRDefault="00C37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E38CF45" w:rsidR="00884BC2" w:rsidRDefault="00884B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489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489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93AEF" w14:textId="77777777" w:rsidR="00C37BFD" w:rsidRDefault="00C37BFD">
      <w:r>
        <w:separator/>
      </w:r>
    </w:p>
  </w:footnote>
  <w:footnote w:type="continuationSeparator" w:id="0">
    <w:p w14:paraId="3E29E342" w14:textId="77777777" w:rsidR="00C37BFD" w:rsidRDefault="00C37BFD">
      <w:r>
        <w:continuationSeparator/>
      </w:r>
    </w:p>
  </w:footnote>
  <w:footnote w:type="continuationNotice" w:id="1">
    <w:p w14:paraId="69A6B6BA" w14:textId="77777777" w:rsidR="00C37BFD" w:rsidRDefault="00C37BF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84BC2" w:rsidRDefault="00884B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FEF12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C78AB6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FD868A54"/>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2406538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517FB"/>
    <w:multiLevelType w:val="hybridMultilevel"/>
    <w:tmpl w:val="682E4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F8180F"/>
    <w:multiLevelType w:val="hybridMultilevel"/>
    <w:tmpl w:val="6F4A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E976A0"/>
    <w:multiLevelType w:val="hybridMultilevel"/>
    <w:tmpl w:val="3822B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20523"/>
    <w:multiLevelType w:val="hybridMultilevel"/>
    <w:tmpl w:val="993E65A4"/>
    <w:lvl w:ilvl="0" w:tplc="2A427EEA">
      <w:start w:val="1"/>
      <w:numFmt w:val="bullet"/>
      <w:lvlText w:val="-"/>
      <w:lvlJc w:val="left"/>
      <w:pPr>
        <w:ind w:left="420" w:hanging="420"/>
      </w:pPr>
      <w:rPr>
        <w:rFonts w:ascii="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66F0"/>
    <w:multiLevelType w:val="hybridMultilevel"/>
    <w:tmpl w:val="AEA2224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0E40"/>
    <w:multiLevelType w:val="hybridMultilevel"/>
    <w:tmpl w:val="7D605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2B7A4F"/>
    <w:multiLevelType w:val="hybridMultilevel"/>
    <w:tmpl w:val="D3284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72AE7"/>
    <w:multiLevelType w:val="hybridMultilevel"/>
    <w:tmpl w:val="29AE713E"/>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30" w15:restartNumberingAfterBreak="0">
    <w:nsid w:val="772C13EE"/>
    <w:multiLevelType w:val="multilevel"/>
    <w:tmpl w:val="8F2030E6"/>
    <w:lvl w:ilvl="0">
      <w:start w:val="1"/>
      <w:numFmt w:val="decimal"/>
      <w:pStyle w:val="Heading1"/>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B16A92"/>
    <w:multiLevelType w:val="hybridMultilevel"/>
    <w:tmpl w:val="7CA8A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1"/>
  </w:num>
  <w:num w:numId="3">
    <w:abstractNumId w:val="17"/>
  </w:num>
  <w:num w:numId="4">
    <w:abstractNumId w:val="19"/>
  </w:num>
  <w:num w:numId="5">
    <w:abstractNumId w:val="12"/>
  </w:num>
  <w:num w:numId="6">
    <w:abstractNumId w:val="20"/>
  </w:num>
  <w:num w:numId="7">
    <w:abstractNumId w:val="26"/>
  </w:num>
  <w:num w:numId="8">
    <w:abstractNumId w:val="13"/>
  </w:num>
  <w:num w:numId="9">
    <w:abstractNumId w:val="23"/>
  </w:num>
  <w:num w:numId="10">
    <w:abstractNumId w:val="27"/>
  </w:num>
  <w:num w:numId="11">
    <w:abstractNumId w:val="11"/>
  </w:num>
  <w:num w:numId="12">
    <w:abstractNumId w:val="6"/>
  </w:num>
  <w:num w:numId="13">
    <w:abstractNumId w:val="10"/>
  </w:num>
  <w:num w:numId="14">
    <w:abstractNumId w:val="7"/>
  </w:num>
  <w:num w:numId="15">
    <w:abstractNumId w:val="14"/>
  </w:num>
  <w:num w:numId="16">
    <w:abstractNumId w:val="18"/>
  </w:num>
  <w:num w:numId="17">
    <w:abstractNumId w:val="30"/>
  </w:num>
  <w:num w:numId="18">
    <w:abstractNumId w:val="2"/>
  </w:num>
  <w:num w:numId="19">
    <w:abstractNumId w:val="1"/>
  </w:num>
  <w:num w:numId="20">
    <w:abstractNumId w:val="0"/>
  </w:num>
  <w:num w:numId="21">
    <w:abstractNumId w:val="5"/>
  </w:num>
  <w:num w:numId="22">
    <w:abstractNumId w:val="16"/>
  </w:num>
  <w:num w:numId="23">
    <w:abstractNumId w:val="15"/>
  </w:num>
  <w:num w:numId="24">
    <w:abstractNumId w:val="9"/>
  </w:num>
  <w:num w:numId="25">
    <w:abstractNumId w:val="22"/>
  </w:num>
  <w:num w:numId="26">
    <w:abstractNumId w:val="29"/>
  </w:num>
  <w:num w:numId="27">
    <w:abstractNumId w:val="25"/>
  </w:num>
  <w:num w:numId="28">
    <w:abstractNumId w:val="32"/>
  </w:num>
  <w:num w:numId="29">
    <w:abstractNumId w:val="24"/>
  </w:num>
  <w:num w:numId="30">
    <w:abstractNumId w:val="28"/>
  </w:num>
  <w:num w:numId="31">
    <w:abstractNumId w:val="31"/>
  </w:num>
  <w:num w:numId="32">
    <w:abstractNumId w:val="4"/>
  </w:num>
  <w:num w:numId="3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5D5E"/>
    <w:rsid w:val="00006446"/>
    <w:rsid w:val="00006896"/>
    <w:rsid w:val="00006B58"/>
    <w:rsid w:val="00007CDC"/>
    <w:rsid w:val="00007DF3"/>
    <w:rsid w:val="00011153"/>
    <w:rsid w:val="00011A53"/>
    <w:rsid w:val="00011B28"/>
    <w:rsid w:val="0001207F"/>
    <w:rsid w:val="00012D65"/>
    <w:rsid w:val="00013C34"/>
    <w:rsid w:val="0001485C"/>
    <w:rsid w:val="00014E6A"/>
    <w:rsid w:val="00015D15"/>
    <w:rsid w:val="000162B6"/>
    <w:rsid w:val="00016E88"/>
    <w:rsid w:val="000176B2"/>
    <w:rsid w:val="00020538"/>
    <w:rsid w:val="0002460D"/>
    <w:rsid w:val="0002564D"/>
    <w:rsid w:val="000256A7"/>
    <w:rsid w:val="00025E2E"/>
    <w:rsid w:val="00025ECA"/>
    <w:rsid w:val="00026008"/>
    <w:rsid w:val="0002609C"/>
    <w:rsid w:val="00027939"/>
    <w:rsid w:val="0003000D"/>
    <w:rsid w:val="000302D0"/>
    <w:rsid w:val="00030866"/>
    <w:rsid w:val="000325B8"/>
    <w:rsid w:val="00033576"/>
    <w:rsid w:val="00033F83"/>
    <w:rsid w:val="00034431"/>
    <w:rsid w:val="000344F1"/>
    <w:rsid w:val="00034AE9"/>
    <w:rsid w:val="00034C15"/>
    <w:rsid w:val="000364F5"/>
    <w:rsid w:val="00036BA1"/>
    <w:rsid w:val="00041771"/>
    <w:rsid w:val="00042049"/>
    <w:rsid w:val="000422E2"/>
    <w:rsid w:val="00042F22"/>
    <w:rsid w:val="000444EF"/>
    <w:rsid w:val="000455B9"/>
    <w:rsid w:val="00045A5C"/>
    <w:rsid w:val="00050B9F"/>
    <w:rsid w:val="00051059"/>
    <w:rsid w:val="000514D1"/>
    <w:rsid w:val="00051FE1"/>
    <w:rsid w:val="00052A07"/>
    <w:rsid w:val="000534E3"/>
    <w:rsid w:val="000546E0"/>
    <w:rsid w:val="0005606A"/>
    <w:rsid w:val="0005708E"/>
    <w:rsid w:val="00057117"/>
    <w:rsid w:val="00057E2C"/>
    <w:rsid w:val="00060708"/>
    <w:rsid w:val="00060FD1"/>
    <w:rsid w:val="000616E7"/>
    <w:rsid w:val="00062807"/>
    <w:rsid w:val="00063C67"/>
    <w:rsid w:val="0006487E"/>
    <w:rsid w:val="00065E1A"/>
    <w:rsid w:val="00067548"/>
    <w:rsid w:val="00070760"/>
    <w:rsid w:val="00072D36"/>
    <w:rsid w:val="00073502"/>
    <w:rsid w:val="00073DB3"/>
    <w:rsid w:val="00075168"/>
    <w:rsid w:val="00077E5F"/>
    <w:rsid w:val="0008036A"/>
    <w:rsid w:val="00081AE6"/>
    <w:rsid w:val="00082017"/>
    <w:rsid w:val="000821B8"/>
    <w:rsid w:val="000828A9"/>
    <w:rsid w:val="00082A65"/>
    <w:rsid w:val="000841B9"/>
    <w:rsid w:val="000841EB"/>
    <w:rsid w:val="0008434E"/>
    <w:rsid w:val="000855EB"/>
    <w:rsid w:val="00085B52"/>
    <w:rsid w:val="00085E2F"/>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504"/>
    <w:rsid w:val="000B58C3"/>
    <w:rsid w:val="000B61E9"/>
    <w:rsid w:val="000B7068"/>
    <w:rsid w:val="000B7CF7"/>
    <w:rsid w:val="000C00DD"/>
    <w:rsid w:val="000C01AA"/>
    <w:rsid w:val="000C0B03"/>
    <w:rsid w:val="000C0F46"/>
    <w:rsid w:val="000C165A"/>
    <w:rsid w:val="000C25F2"/>
    <w:rsid w:val="000C2933"/>
    <w:rsid w:val="000C2E19"/>
    <w:rsid w:val="000C302A"/>
    <w:rsid w:val="000C3084"/>
    <w:rsid w:val="000C349B"/>
    <w:rsid w:val="000C3BB5"/>
    <w:rsid w:val="000C65B7"/>
    <w:rsid w:val="000C72F7"/>
    <w:rsid w:val="000D0D07"/>
    <w:rsid w:val="000D1C00"/>
    <w:rsid w:val="000D2ACE"/>
    <w:rsid w:val="000D4797"/>
    <w:rsid w:val="000D4A4F"/>
    <w:rsid w:val="000D4C5E"/>
    <w:rsid w:val="000E0527"/>
    <w:rsid w:val="000E0EBD"/>
    <w:rsid w:val="000E1E92"/>
    <w:rsid w:val="000E4733"/>
    <w:rsid w:val="000E58DF"/>
    <w:rsid w:val="000E5D8D"/>
    <w:rsid w:val="000E7C6F"/>
    <w:rsid w:val="000F06D6"/>
    <w:rsid w:val="000F0EB1"/>
    <w:rsid w:val="000F1106"/>
    <w:rsid w:val="000F3AF3"/>
    <w:rsid w:val="000F3BE9"/>
    <w:rsid w:val="000F3F6C"/>
    <w:rsid w:val="000F6DF3"/>
    <w:rsid w:val="001005FF"/>
    <w:rsid w:val="0010073A"/>
    <w:rsid w:val="001041A6"/>
    <w:rsid w:val="001062FB"/>
    <w:rsid w:val="001063E6"/>
    <w:rsid w:val="00107197"/>
    <w:rsid w:val="00111D7A"/>
    <w:rsid w:val="00112BC6"/>
    <w:rsid w:val="00112F5E"/>
    <w:rsid w:val="00113CF4"/>
    <w:rsid w:val="00113CFB"/>
    <w:rsid w:val="00113EB2"/>
    <w:rsid w:val="001153EA"/>
    <w:rsid w:val="00115643"/>
    <w:rsid w:val="00116765"/>
    <w:rsid w:val="00117B7E"/>
    <w:rsid w:val="0012078D"/>
    <w:rsid w:val="0012080F"/>
    <w:rsid w:val="001219F5"/>
    <w:rsid w:val="00121A20"/>
    <w:rsid w:val="00122F2E"/>
    <w:rsid w:val="00123610"/>
    <w:rsid w:val="0012377F"/>
    <w:rsid w:val="00124314"/>
    <w:rsid w:val="00124FAA"/>
    <w:rsid w:val="001254E8"/>
    <w:rsid w:val="0012673F"/>
    <w:rsid w:val="00126B4A"/>
    <w:rsid w:val="00126D71"/>
    <w:rsid w:val="001272AC"/>
    <w:rsid w:val="00127B88"/>
    <w:rsid w:val="00127E49"/>
    <w:rsid w:val="00131EC3"/>
    <w:rsid w:val="00132BA3"/>
    <w:rsid w:val="00132FD0"/>
    <w:rsid w:val="00133CEB"/>
    <w:rsid w:val="001344C0"/>
    <w:rsid w:val="001346FA"/>
    <w:rsid w:val="00135252"/>
    <w:rsid w:val="00135588"/>
    <w:rsid w:val="00137AB5"/>
    <w:rsid w:val="00137ED0"/>
    <w:rsid w:val="00137F0B"/>
    <w:rsid w:val="001406B8"/>
    <w:rsid w:val="001416F8"/>
    <w:rsid w:val="00141A7D"/>
    <w:rsid w:val="00142812"/>
    <w:rsid w:val="001456BD"/>
    <w:rsid w:val="00145D40"/>
    <w:rsid w:val="00146270"/>
    <w:rsid w:val="00146AD8"/>
    <w:rsid w:val="001502BC"/>
    <w:rsid w:val="00151723"/>
    <w:rsid w:val="00151E23"/>
    <w:rsid w:val="001526E0"/>
    <w:rsid w:val="001550E1"/>
    <w:rsid w:val="001551B5"/>
    <w:rsid w:val="0015525E"/>
    <w:rsid w:val="0015531C"/>
    <w:rsid w:val="00155534"/>
    <w:rsid w:val="00155652"/>
    <w:rsid w:val="00155888"/>
    <w:rsid w:val="001608F0"/>
    <w:rsid w:val="00160DD8"/>
    <w:rsid w:val="001632FD"/>
    <w:rsid w:val="00163A0C"/>
    <w:rsid w:val="00163D22"/>
    <w:rsid w:val="001643A8"/>
    <w:rsid w:val="0016465B"/>
    <w:rsid w:val="00165142"/>
    <w:rsid w:val="0016522A"/>
    <w:rsid w:val="001659C1"/>
    <w:rsid w:val="00165A59"/>
    <w:rsid w:val="0016607D"/>
    <w:rsid w:val="00171A1F"/>
    <w:rsid w:val="00171B79"/>
    <w:rsid w:val="00171D4D"/>
    <w:rsid w:val="00171D60"/>
    <w:rsid w:val="00173A8E"/>
    <w:rsid w:val="0017489D"/>
    <w:rsid w:val="001767C8"/>
    <w:rsid w:val="00177795"/>
    <w:rsid w:val="00180D4C"/>
    <w:rsid w:val="0018143F"/>
    <w:rsid w:val="00181887"/>
    <w:rsid w:val="00181F5C"/>
    <w:rsid w:val="001822A0"/>
    <w:rsid w:val="00184585"/>
    <w:rsid w:val="00190AC1"/>
    <w:rsid w:val="001928DE"/>
    <w:rsid w:val="00192C10"/>
    <w:rsid w:val="0019341A"/>
    <w:rsid w:val="00195520"/>
    <w:rsid w:val="00195C07"/>
    <w:rsid w:val="00195CBD"/>
    <w:rsid w:val="00196216"/>
    <w:rsid w:val="001963B6"/>
    <w:rsid w:val="00197BC4"/>
    <w:rsid w:val="00197DF9"/>
    <w:rsid w:val="001A0E54"/>
    <w:rsid w:val="001A1987"/>
    <w:rsid w:val="001A2564"/>
    <w:rsid w:val="001A2BB5"/>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0164"/>
    <w:rsid w:val="001C1CE5"/>
    <w:rsid w:val="001C2F89"/>
    <w:rsid w:val="001C3D2A"/>
    <w:rsid w:val="001C3D73"/>
    <w:rsid w:val="001C4200"/>
    <w:rsid w:val="001C4A35"/>
    <w:rsid w:val="001C5739"/>
    <w:rsid w:val="001C5950"/>
    <w:rsid w:val="001C61CE"/>
    <w:rsid w:val="001C6495"/>
    <w:rsid w:val="001C67E3"/>
    <w:rsid w:val="001C7060"/>
    <w:rsid w:val="001D02D8"/>
    <w:rsid w:val="001D05CD"/>
    <w:rsid w:val="001D280D"/>
    <w:rsid w:val="001D2FFD"/>
    <w:rsid w:val="001D3AD3"/>
    <w:rsid w:val="001D4132"/>
    <w:rsid w:val="001D4ABC"/>
    <w:rsid w:val="001D506C"/>
    <w:rsid w:val="001D51BA"/>
    <w:rsid w:val="001D6342"/>
    <w:rsid w:val="001D68B3"/>
    <w:rsid w:val="001D6D53"/>
    <w:rsid w:val="001D727E"/>
    <w:rsid w:val="001E1D1D"/>
    <w:rsid w:val="001E1D42"/>
    <w:rsid w:val="001E344E"/>
    <w:rsid w:val="001E58E2"/>
    <w:rsid w:val="001E68FA"/>
    <w:rsid w:val="001E7561"/>
    <w:rsid w:val="001E7AED"/>
    <w:rsid w:val="001F15FB"/>
    <w:rsid w:val="001F273E"/>
    <w:rsid w:val="001F37D7"/>
    <w:rsid w:val="001F3916"/>
    <w:rsid w:val="001F3EAB"/>
    <w:rsid w:val="001F4054"/>
    <w:rsid w:val="001F4AB0"/>
    <w:rsid w:val="001F5269"/>
    <w:rsid w:val="001F54C5"/>
    <w:rsid w:val="001F662C"/>
    <w:rsid w:val="001F7074"/>
    <w:rsid w:val="001F7121"/>
    <w:rsid w:val="001F718F"/>
    <w:rsid w:val="00200490"/>
    <w:rsid w:val="00200F45"/>
    <w:rsid w:val="00201F3A"/>
    <w:rsid w:val="00203F96"/>
    <w:rsid w:val="0020419A"/>
    <w:rsid w:val="00204846"/>
    <w:rsid w:val="0020661F"/>
    <w:rsid w:val="002069B2"/>
    <w:rsid w:val="00206C08"/>
    <w:rsid w:val="00207F96"/>
    <w:rsid w:val="00207FA3"/>
    <w:rsid w:val="002122BB"/>
    <w:rsid w:val="002144C9"/>
    <w:rsid w:val="00214DA8"/>
    <w:rsid w:val="00215423"/>
    <w:rsid w:val="002158FA"/>
    <w:rsid w:val="00216564"/>
    <w:rsid w:val="00216EB1"/>
    <w:rsid w:val="002202E1"/>
    <w:rsid w:val="00220600"/>
    <w:rsid w:val="00221997"/>
    <w:rsid w:val="002224DB"/>
    <w:rsid w:val="00222B1C"/>
    <w:rsid w:val="00222DEF"/>
    <w:rsid w:val="00223FCB"/>
    <w:rsid w:val="002252C3"/>
    <w:rsid w:val="00225C54"/>
    <w:rsid w:val="00225E7C"/>
    <w:rsid w:val="00226476"/>
    <w:rsid w:val="00227908"/>
    <w:rsid w:val="0023019F"/>
    <w:rsid w:val="002304E1"/>
    <w:rsid w:val="00230568"/>
    <w:rsid w:val="00230765"/>
    <w:rsid w:val="00230AA4"/>
    <w:rsid w:val="002319E4"/>
    <w:rsid w:val="00233AFC"/>
    <w:rsid w:val="00235562"/>
    <w:rsid w:val="00235632"/>
    <w:rsid w:val="00235872"/>
    <w:rsid w:val="00236AAA"/>
    <w:rsid w:val="00241559"/>
    <w:rsid w:val="00241B98"/>
    <w:rsid w:val="00242973"/>
    <w:rsid w:val="00242A0A"/>
    <w:rsid w:val="002435B3"/>
    <w:rsid w:val="0024392A"/>
    <w:rsid w:val="00244DBD"/>
    <w:rsid w:val="0024547B"/>
    <w:rsid w:val="002454D4"/>
    <w:rsid w:val="002458EB"/>
    <w:rsid w:val="00245F63"/>
    <w:rsid w:val="002500C8"/>
    <w:rsid w:val="00250F16"/>
    <w:rsid w:val="0025167F"/>
    <w:rsid w:val="00251821"/>
    <w:rsid w:val="00252144"/>
    <w:rsid w:val="002523D0"/>
    <w:rsid w:val="00253FA7"/>
    <w:rsid w:val="00254378"/>
    <w:rsid w:val="002558D7"/>
    <w:rsid w:val="002558ED"/>
    <w:rsid w:val="00256B9A"/>
    <w:rsid w:val="00257543"/>
    <w:rsid w:val="00257F88"/>
    <w:rsid w:val="00260071"/>
    <w:rsid w:val="00260845"/>
    <w:rsid w:val="00261285"/>
    <w:rsid w:val="002617E7"/>
    <w:rsid w:val="00261FC8"/>
    <w:rsid w:val="00264109"/>
    <w:rsid w:val="00264228"/>
    <w:rsid w:val="00264334"/>
    <w:rsid w:val="0026473E"/>
    <w:rsid w:val="00266214"/>
    <w:rsid w:val="00266336"/>
    <w:rsid w:val="00267C58"/>
    <w:rsid w:val="00267C83"/>
    <w:rsid w:val="002708D0"/>
    <w:rsid w:val="0027144F"/>
    <w:rsid w:val="00271F3A"/>
    <w:rsid w:val="0027208A"/>
    <w:rsid w:val="0027221F"/>
    <w:rsid w:val="00272243"/>
    <w:rsid w:val="00272796"/>
    <w:rsid w:val="00273278"/>
    <w:rsid w:val="002737F4"/>
    <w:rsid w:val="00273E60"/>
    <w:rsid w:val="0027455E"/>
    <w:rsid w:val="00274DAA"/>
    <w:rsid w:val="00275CAD"/>
    <w:rsid w:val="002803F3"/>
    <w:rsid w:val="002805F5"/>
    <w:rsid w:val="00280751"/>
    <w:rsid w:val="0028280A"/>
    <w:rsid w:val="00283EAC"/>
    <w:rsid w:val="002863F1"/>
    <w:rsid w:val="00286564"/>
    <w:rsid w:val="0028698F"/>
    <w:rsid w:val="00286ACD"/>
    <w:rsid w:val="00287838"/>
    <w:rsid w:val="00287895"/>
    <w:rsid w:val="002907B5"/>
    <w:rsid w:val="00292E71"/>
    <w:rsid w:val="00292EB7"/>
    <w:rsid w:val="00293B29"/>
    <w:rsid w:val="00293F02"/>
    <w:rsid w:val="0029549E"/>
    <w:rsid w:val="00296227"/>
    <w:rsid w:val="00296F44"/>
    <w:rsid w:val="00297486"/>
    <w:rsid w:val="0029774E"/>
    <w:rsid w:val="0029777D"/>
    <w:rsid w:val="00297A1B"/>
    <w:rsid w:val="002A036D"/>
    <w:rsid w:val="002A055E"/>
    <w:rsid w:val="002A10A9"/>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B556E"/>
    <w:rsid w:val="002B593D"/>
    <w:rsid w:val="002C0356"/>
    <w:rsid w:val="002C18BE"/>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6E7A"/>
    <w:rsid w:val="002D7391"/>
    <w:rsid w:val="002D7637"/>
    <w:rsid w:val="002E14D6"/>
    <w:rsid w:val="002E17F2"/>
    <w:rsid w:val="002E35F4"/>
    <w:rsid w:val="002E3CAE"/>
    <w:rsid w:val="002E3DED"/>
    <w:rsid w:val="002E4F89"/>
    <w:rsid w:val="002E64DB"/>
    <w:rsid w:val="002E780F"/>
    <w:rsid w:val="002E7C0C"/>
    <w:rsid w:val="002E7CAE"/>
    <w:rsid w:val="002F2462"/>
    <w:rsid w:val="002F246A"/>
    <w:rsid w:val="002F2771"/>
    <w:rsid w:val="002F2812"/>
    <w:rsid w:val="002F2EC8"/>
    <w:rsid w:val="002F3420"/>
    <w:rsid w:val="002F37A9"/>
    <w:rsid w:val="002F421A"/>
    <w:rsid w:val="002F4796"/>
    <w:rsid w:val="002F497C"/>
    <w:rsid w:val="00300010"/>
    <w:rsid w:val="00301CE6"/>
    <w:rsid w:val="0030256B"/>
    <w:rsid w:val="00303655"/>
    <w:rsid w:val="00303FC5"/>
    <w:rsid w:val="0030501F"/>
    <w:rsid w:val="00305A9E"/>
    <w:rsid w:val="00305D11"/>
    <w:rsid w:val="00305F02"/>
    <w:rsid w:val="00307047"/>
    <w:rsid w:val="00307BA1"/>
    <w:rsid w:val="0031092F"/>
    <w:rsid w:val="00311702"/>
    <w:rsid w:val="00311E82"/>
    <w:rsid w:val="00312C31"/>
    <w:rsid w:val="00313FD6"/>
    <w:rsid w:val="003143BD"/>
    <w:rsid w:val="003177E4"/>
    <w:rsid w:val="00317B01"/>
    <w:rsid w:val="003203ED"/>
    <w:rsid w:val="003207D7"/>
    <w:rsid w:val="00322C9F"/>
    <w:rsid w:val="00322CD7"/>
    <w:rsid w:val="0032321A"/>
    <w:rsid w:val="003248B5"/>
    <w:rsid w:val="00324D23"/>
    <w:rsid w:val="00324EEF"/>
    <w:rsid w:val="003261A9"/>
    <w:rsid w:val="00327044"/>
    <w:rsid w:val="0032788B"/>
    <w:rsid w:val="00331751"/>
    <w:rsid w:val="00331F63"/>
    <w:rsid w:val="00334579"/>
    <w:rsid w:val="00334708"/>
    <w:rsid w:val="00334F10"/>
    <w:rsid w:val="0033551A"/>
    <w:rsid w:val="00335858"/>
    <w:rsid w:val="00335A88"/>
    <w:rsid w:val="0033621A"/>
    <w:rsid w:val="0033628D"/>
    <w:rsid w:val="0033630B"/>
    <w:rsid w:val="00336B81"/>
    <w:rsid w:val="00336BDA"/>
    <w:rsid w:val="0034033C"/>
    <w:rsid w:val="003408A5"/>
    <w:rsid w:val="00342BD7"/>
    <w:rsid w:val="00342D3F"/>
    <w:rsid w:val="00343266"/>
    <w:rsid w:val="00343A07"/>
    <w:rsid w:val="00344333"/>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160"/>
    <w:rsid w:val="00361478"/>
    <w:rsid w:val="0036161E"/>
    <w:rsid w:val="00362DE3"/>
    <w:rsid w:val="00363866"/>
    <w:rsid w:val="00365A6D"/>
    <w:rsid w:val="00366717"/>
    <w:rsid w:val="00366D3B"/>
    <w:rsid w:val="003670B6"/>
    <w:rsid w:val="0036789E"/>
    <w:rsid w:val="00370E47"/>
    <w:rsid w:val="003714E8"/>
    <w:rsid w:val="0037206F"/>
    <w:rsid w:val="0037254A"/>
    <w:rsid w:val="0037284C"/>
    <w:rsid w:val="0037289A"/>
    <w:rsid w:val="00373126"/>
    <w:rsid w:val="003735E5"/>
    <w:rsid w:val="003742AC"/>
    <w:rsid w:val="00374C70"/>
    <w:rsid w:val="00375204"/>
    <w:rsid w:val="003755C3"/>
    <w:rsid w:val="0037583E"/>
    <w:rsid w:val="00375DA2"/>
    <w:rsid w:val="003768C5"/>
    <w:rsid w:val="00376A70"/>
    <w:rsid w:val="00377CE1"/>
    <w:rsid w:val="00382082"/>
    <w:rsid w:val="00385BF0"/>
    <w:rsid w:val="0038629C"/>
    <w:rsid w:val="00387618"/>
    <w:rsid w:val="00387BA7"/>
    <w:rsid w:val="00390264"/>
    <w:rsid w:val="00390515"/>
    <w:rsid w:val="00391426"/>
    <w:rsid w:val="00391568"/>
    <w:rsid w:val="003939FF"/>
    <w:rsid w:val="003958E5"/>
    <w:rsid w:val="00396A2D"/>
    <w:rsid w:val="00397681"/>
    <w:rsid w:val="003A006B"/>
    <w:rsid w:val="003A117C"/>
    <w:rsid w:val="003A127C"/>
    <w:rsid w:val="003A2223"/>
    <w:rsid w:val="003A23C7"/>
    <w:rsid w:val="003A24A5"/>
    <w:rsid w:val="003A254F"/>
    <w:rsid w:val="003A2A0F"/>
    <w:rsid w:val="003A369D"/>
    <w:rsid w:val="003A45A1"/>
    <w:rsid w:val="003A5AC6"/>
    <w:rsid w:val="003A5B0A"/>
    <w:rsid w:val="003A5BE1"/>
    <w:rsid w:val="003A6BAC"/>
    <w:rsid w:val="003A7EF3"/>
    <w:rsid w:val="003B159C"/>
    <w:rsid w:val="003B214F"/>
    <w:rsid w:val="003B2930"/>
    <w:rsid w:val="003B2D90"/>
    <w:rsid w:val="003B369F"/>
    <w:rsid w:val="003B36A3"/>
    <w:rsid w:val="003B4D22"/>
    <w:rsid w:val="003B4F17"/>
    <w:rsid w:val="003B5648"/>
    <w:rsid w:val="003B608D"/>
    <w:rsid w:val="003B72A4"/>
    <w:rsid w:val="003B7FE5"/>
    <w:rsid w:val="003C0BA5"/>
    <w:rsid w:val="003C10D1"/>
    <w:rsid w:val="003C11C8"/>
    <w:rsid w:val="003C1869"/>
    <w:rsid w:val="003C225C"/>
    <w:rsid w:val="003C2702"/>
    <w:rsid w:val="003C2F3A"/>
    <w:rsid w:val="003C383A"/>
    <w:rsid w:val="003C4788"/>
    <w:rsid w:val="003C651C"/>
    <w:rsid w:val="003C7806"/>
    <w:rsid w:val="003C7AF0"/>
    <w:rsid w:val="003D03A4"/>
    <w:rsid w:val="003D063A"/>
    <w:rsid w:val="003D109F"/>
    <w:rsid w:val="003D1E65"/>
    <w:rsid w:val="003D2478"/>
    <w:rsid w:val="003D2860"/>
    <w:rsid w:val="003D2D9C"/>
    <w:rsid w:val="003D2FC4"/>
    <w:rsid w:val="003D387A"/>
    <w:rsid w:val="003D3C45"/>
    <w:rsid w:val="003D3CD0"/>
    <w:rsid w:val="003D4532"/>
    <w:rsid w:val="003D5B1F"/>
    <w:rsid w:val="003D5E2C"/>
    <w:rsid w:val="003D5F5D"/>
    <w:rsid w:val="003D6730"/>
    <w:rsid w:val="003E0EA4"/>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1643"/>
    <w:rsid w:val="004119D9"/>
    <w:rsid w:val="0041263E"/>
    <w:rsid w:val="00413AAC"/>
    <w:rsid w:val="00413EFB"/>
    <w:rsid w:val="00415A4C"/>
    <w:rsid w:val="00416B1B"/>
    <w:rsid w:val="00417BAF"/>
    <w:rsid w:val="00417EB0"/>
    <w:rsid w:val="004205A3"/>
    <w:rsid w:val="00420DC3"/>
    <w:rsid w:val="00421105"/>
    <w:rsid w:val="00421755"/>
    <w:rsid w:val="004221B6"/>
    <w:rsid w:val="004234D8"/>
    <w:rsid w:val="00423C9D"/>
    <w:rsid w:val="004242F4"/>
    <w:rsid w:val="004254BD"/>
    <w:rsid w:val="00425FEE"/>
    <w:rsid w:val="00427248"/>
    <w:rsid w:val="00427789"/>
    <w:rsid w:val="00427C68"/>
    <w:rsid w:val="0043123D"/>
    <w:rsid w:val="0043227D"/>
    <w:rsid w:val="004332BB"/>
    <w:rsid w:val="00433B47"/>
    <w:rsid w:val="004351A3"/>
    <w:rsid w:val="00435213"/>
    <w:rsid w:val="00435CD3"/>
    <w:rsid w:val="00435ECC"/>
    <w:rsid w:val="00437447"/>
    <w:rsid w:val="004374BA"/>
    <w:rsid w:val="00437E3D"/>
    <w:rsid w:val="00440548"/>
    <w:rsid w:val="00440B16"/>
    <w:rsid w:val="00441A92"/>
    <w:rsid w:val="00441E4A"/>
    <w:rsid w:val="00443BE9"/>
    <w:rsid w:val="00444AAD"/>
    <w:rsid w:val="00444C54"/>
    <w:rsid w:val="00444C6F"/>
    <w:rsid w:val="00444F56"/>
    <w:rsid w:val="00445C19"/>
    <w:rsid w:val="004462C8"/>
    <w:rsid w:val="00446488"/>
    <w:rsid w:val="00451733"/>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1B78"/>
    <w:rsid w:val="004734D0"/>
    <w:rsid w:val="00474804"/>
    <w:rsid w:val="0047556B"/>
    <w:rsid w:val="004759D0"/>
    <w:rsid w:val="004769FA"/>
    <w:rsid w:val="00476B40"/>
    <w:rsid w:val="00476C8F"/>
    <w:rsid w:val="00477768"/>
    <w:rsid w:val="004835D6"/>
    <w:rsid w:val="004846D1"/>
    <w:rsid w:val="00485A64"/>
    <w:rsid w:val="00485BC6"/>
    <w:rsid w:val="00490F9C"/>
    <w:rsid w:val="00492BC5"/>
    <w:rsid w:val="00493F23"/>
    <w:rsid w:val="00494430"/>
    <w:rsid w:val="004961CE"/>
    <w:rsid w:val="004963BF"/>
    <w:rsid w:val="004963F0"/>
    <w:rsid w:val="004964F1"/>
    <w:rsid w:val="004970B3"/>
    <w:rsid w:val="004A08BA"/>
    <w:rsid w:val="004A16BC"/>
    <w:rsid w:val="004A2B94"/>
    <w:rsid w:val="004A7E7F"/>
    <w:rsid w:val="004B0404"/>
    <w:rsid w:val="004B10EC"/>
    <w:rsid w:val="004B155E"/>
    <w:rsid w:val="004B197A"/>
    <w:rsid w:val="004B2FD1"/>
    <w:rsid w:val="004B387B"/>
    <w:rsid w:val="004B3ACB"/>
    <w:rsid w:val="004B4BB8"/>
    <w:rsid w:val="004B7380"/>
    <w:rsid w:val="004B7C0C"/>
    <w:rsid w:val="004C01C8"/>
    <w:rsid w:val="004C1058"/>
    <w:rsid w:val="004C2328"/>
    <w:rsid w:val="004C30D4"/>
    <w:rsid w:val="004C3898"/>
    <w:rsid w:val="004C54C2"/>
    <w:rsid w:val="004C6EDD"/>
    <w:rsid w:val="004D0503"/>
    <w:rsid w:val="004D18D8"/>
    <w:rsid w:val="004D2237"/>
    <w:rsid w:val="004D36B1"/>
    <w:rsid w:val="004D7EBD"/>
    <w:rsid w:val="004E0BD6"/>
    <w:rsid w:val="004E1A9A"/>
    <w:rsid w:val="004E230D"/>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58FB"/>
    <w:rsid w:val="004F5EE7"/>
    <w:rsid w:val="004F7740"/>
    <w:rsid w:val="004F7EA9"/>
    <w:rsid w:val="0050054E"/>
    <w:rsid w:val="00500754"/>
    <w:rsid w:val="0050108D"/>
    <w:rsid w:val="00502773"/>
    <w:rsid w:val="0050361D"/>
    <w:rsid w:val="0050462F"/>
    <w:rsid w:val="00504651"/>
    <w:rsid w:val="00504E69"/>
    <w:rsid w:val="005051D5"/>
    <w:rsid w:val="005052D8"/>
    <w:rsid w:val="005054B0"/>
    <w:rsid w:val="0050591A"/>
    <w:rsid w:val="005064BB"/>
    <w:rsid w:val="00506557"/>
    <w:rsid w:val="0050677A"/>
    <w:rsid w:val="00507151"/>
    <w:rsid w:val="00507454"/>
    <w:rsid w:val="005079A0"/>
    <w:rsid w:val="005108D8"/>
    <w:rsid w:val="00510CB5"/>
    <w:rsid w:val="005111A1"/>
    <w:rsid w:val="005116F9"/>
    <w:rsid w:val="00512F30"/>
    <w:rsid w:val="00513ECD"/>
    <w:rsid w:val="005153A7"/>
    <w:rsid w:val="005154C5"/>
    <w:rsid w:val="00517303"/>
    <w:rsid w:val="00520097"/>
    <w:rsid w:val="005205E5"/>
    <w:rsid w:val="005219CF"/>
    <w:rsid w:val="00522D07"/>
    <w:rsid w:val="00525F75"/>
    <w:rsid w:val="005267A6"/>
    <w:rsid w:val="00526C0D"/>
    <w:rsid w:val="00530867"/>
    <w:rsid w:val="00531534"/>
    <w:rsid w:val="00531CAC"/>
    <w:rsid w:val="00531F1D"/>
    <w:rsid w:val="005325B8"/>
    <w:rsid w:val="005336B9"/>
    <w:rsid w:val="005338D0"/>
    <w:rsid w:val="005343FA"/>
    <w:rsid w:val="00534B59"/>
    <w:rsid w:val="00536759"/>
    <w:rsid w:val="005369A8"/>
    <w:rsid w:val="00537718"/>
    <w:rsid w:val="00537854"/>
    <w:rsid w:val="00537C62"/>
    <w:rsid w:val="00543336"/>
    <w:rsid w:val="00546970"/>
    <w:rsid w:val="00547A14"/>
    <w:rsid w:val="00547F05"/>
    <w:rsid w:val="0055001B"/>
    <w:rsid w:val="0055013D"/>
    <w:rsid w:val="005501DB"/>
    <w:rsid w:val="00553715"/>
    <w:rsid w:val="00553CDD"/>
    <w:rsid w:val="005544F5"/>
    <w:rsid w:val="00554E19"/>
    <w:rsid w:val="00555D73"/>
    <w:rsid w:val="005564FC"/>
    <w:rsid w:val="005565B6"/>
    <w:rsid w:val="00556629"/>
    <w:rsid w:val="00556E70"/>
    <w:rsid w:val="005579C5"/>
    <w:rsid w:val="00561182"/>
    <w:rsid w:val="0056121F"/>
    <w:rsid w:val="00561320"/>
    <w:rsid w:val="00561AA0"/>
    <w:rsid w:val="00561E52"/>
    <w:rsid w:val="00562064"/>
    <w:rsid w:val="005628C0"/>
    <w:rsid w:val="0056299D"/>
    <w:rsid w:val="00562A1A"/>
    <w:rsid w:val="0056356C"/>
    <w:rsid w:val="005636E8"/>
    <w:rsid w:val="005662A8"/>
    <w:rsid w:val="005715DA"/>
    <w:rsid w:val="00572505"/>
    <w:rsid w:val="005741D7"/>
    <w:rsid w:val="005751A8"/>
    <w:rsid w:val="00577FCB"/>
    <w:rsid w:val="00580202"/>
    <w:rsid w:val="005809A5"/>
    <w:rsid w:val="00580D7C"/>
    <w:rsid w:val="00581CE7"/>
    <w:rsid w:val="00582746"/>
    <w:rsid w:val="00582809"/>
    <w:rsid w:val="005829F4"/>
    <w:rsid w:val="00582A4A"/>
    <w:rsid w:val="00584ABE"/>
    <w:rsid w:val="0058563E"/>
    <w:rsid w:val="005874C6"/>
    <w:rsid w:val="0058798C"/>
    <w:rsid w:val="005900FA"/>
    <w:rsid w:val="005923B7"/>
    <w:rsid w:val="005923F4"/>
    <w:rsid w:val="005935A4"/>
    <w:rsid w:val="005948C2"/>
    <w:rsid w:val="00595DCA"/>
    <w:rsid w:val="0059631D"/>
    <w:rsid w:val="005967F1"/>
    <w:rsid w:val="0059779B"/>
    <w:rsid w:val="005A0D5F"/>
    <w:rsid w:val="005A147F"/>
    <w:rsid w:val="005A16B6"/>
    <w:rsid w:val="005A1D12"/>
    <w:rsid w:val="005A209A"/>
    <w:rsid w:val="005A2A38"/>
    <w:rsid w:val="005A3ADD"/>
    <w:rsid w:val="005A4518"/>
    <w:rsid w:val="005A4C55"/>
    <w:rsid w:val="005A52C8"/>
    <w:rsid w:val="005A5323"/>
    <w:rsid w:val="005A60BE"/>
    <w:rsid w:val="005A662D"/>
    <w:rsid w:val="005B0E15"/>
    <w:rsid w:val="005B35D7"/>
    <w:rsid w:val="005B392A"/>
    <w:rsid w:val="005B3AA3"/>
    <w:rsid w:val="005B41BD"/>
    <w:rsid w:val="005B4E16"/>
    <w:rsid w:val="005B6C83"/>
    <w:rsid w:val="005B6F83"/>
    <w:rsid w:val="005C04B6"/>
    <w:rsid w:val="005C1748"/>
    <w:rsid w:val="005C1B38"/>
    <w:rsid w:val="005C1F7D"/>
    <w:rsid w:val="005C25FC"/>
    <w:rsid w:val="005C2995"/>
    <w:rsid w:val="005C2CC7"/>
    <w:rsid w:val="005C32E7"/>
    <w:rsid w:val="005C341E"/>
    <w:rsid w:val="005C470A"/>
    <w:rsid w:val="005C4808"/>
    <w:rsid w:val="005C493C"/>
    <w:rsid w:val="005C74CF"/>
    <w:rsid w:val="005C74FB"/>
    <w:rsid w:val="005C7928"/>
    <w:rsid w:val="005D1498"/>
    <w:rsid w:val="005D1602"/>
    <w:rsid w:val="005D1A70"/>
    <w:rsid w:val="005D5B23"/>
    <w:rsid w:val="005D65DE"/>
    <w:rsid w:val="005D6B0B"/>
    <w:rsid w:val="005D7504"/>
    <w:rsid w:val="005D7BBD"/>
    <w:rsid w:val="005E0495"/>
    <w:rsid w:val="005E0FF1"/>
    <w:rsid w:val="005E12A6"/>
    <w:rsid w:val="005E30FD"/>
    <w:rsid w:val="005E385F"/>
    <w:rsid w:val="005E3915"/>
    <w:rsid w:val="005E45BC"/>
    <w:rsid w:val="005E5B81"/>
    <w:rsid w:val="005E5D85"/>
    <w:rsid w:val="005E7376"/>
    <w:rsid w:val="005F06E0"/>
    <w:rsid w:val="005F168C"/>
    <w:rsid w:val="005F2CB1"/>
    <w:rsid w:val="005F3025"/>
    <w:rsid w:val="005F3AC1"/>
    <w:rsid w:val="005F4D03"/>
    <w:rsid w:val="005F50BF"/>
    <w:rsid w:val="005F528E"/>
    <w:rsid w:val="005F5AF7"/>
    <w:rsid w:val="005F5BB6"/>
    <w:rsid w:val="005F618C"/>
    <w:rsid w:val="005F66CB"/>
    <w:rsid w:val="005F70BD"/>
    <w:rsid w:val="00601ACA"/>
    <w:rsid w:val="0060283C"/>
    <w:rsid w:val="00602B90"/>
    <w:rsid w:val="00602CC9"/>
    <w:rsid w:val="006030C9"/>
    <w:rsid w:val="00604F14"/>
    <w:rsid w:val="00605541"/>
    <w:rsid w:val="00605F62"/>
    <w:rsid w:val="00610371"/>
    <w:rsid w:val="00611B83"/>
    <w:rsid w:val="00611BEC"/>
    <w:rsid w:val="00612F77"/>
    <w:rsid w:val="00613257"/>
    <w:rsid w:val="0061491C"/>
    <w:rsid w:val="00616876"/>
    <w:rsid w:val="00620A71"/>
    <w:rsid w:val="00620D80"/>
    <w:rsid w:val="0062185E"/>
    <w:rsid w:val="00622722"/>
    <w:rsid w:val="006230BC"/>
    <w:rsid w:val="006234A6"/>
    <w:rsid w:val="00624D23"/>
    <w:rsid w:val="00624F8F"/>
    <w:rsid w:val="00625051"/>
    <w:rsid w:val="00626A4C"/>
    <w:rsid w:val="006276C5"/>
    <w:rsid w:val="00630001"/>
    <w:rsid w:val="006311B3"/>
    <w:rsid w:val="00631B9A"/>
    <w:rsid w:val="0063284C"/>
    <w:rsid w:val="00633833"/>
    <w:rsid w:val="0063397D"/>
    <w:rsid w:val="00633BF2"/>
    <w:rsid w:val="0063480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1AF"/>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C40"/>
    <w:rsid w:val="00670E0F"/>
    <w:rsid w:val="0067218F"/>
    <w:rsid w:val="006728F8"/>
    <w:rsid w:val="00673C16"/>
    <w:rsid w:val="00673DBC"/>
    <w:rsid w:val="006741F2"/>
    <w:rsid w:val="00674CC3"/>
    <w:rsid w:val="00675C72"/>
    <w:rsid w:val="00675D20"/>
    <w:rsid w:val="00676012"/>
    <w:rsid w:val="00676AF2"/>
    <w:rsid w:val="006771F9"/>
    <w:rsid w:val="006776D7"/>
    <w:rsid w:val="00681003"/>
    <w:rsid w:val="00681426"/>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3BF"/>
    <w:rsid w:val="006A697B"/>
    <w:rsid w:val="006A6E4B"/>
    <w:rsid w:val="006A7988"/>
    <w:rsid w:val="006A7AFF"/>
    <w:rsid w:val="006B1816"/>
    <w:rsid w:val="006B2099"/>
    <w:rsid w:val="006B2FD3"/>
    <w:rsid w:val="006B50CF"/>
    <w:rsid w:val="006B570D"/>
    <w:rsid w:val="006B5C2B"/>
    <w:rsid w:val="006B5EE4"/>
    <w:rsid w:val="006B67CF"/>
    <w:rsid w:val="006B68B9"/>
    <w:rsid w:val="006B6BC3"/>
    <w:rsid w:val="006C03B8"/>
    <w:rsid w:val="006C44C2"/>
    <w:rsid w:val="006C5E09"/>
    <w:rsid w:val="006C5EC9"/>
    <w:rsid w:val="006C6059"/>
    <w:rsid w:val="006C6BE1"/>
    <w:rsid w:val="006C7522"/>
    <w:rsid w:val="006D0580"/>
    <w:rsid w:val="006D1ABE"/>
    <w:rsid w:val="006D2A46"/>
    <w:rsid w:val="006D2A50"/>
    <w:rsid w:val="006D3E6D"/>
    <w:rsid w:val="006D4EE8"/>
    <w:rsid w:val="006D5245"/>
    <w:rsid w:val="006D56C8"/>
    <w:rsid w:val="006D571C"/>
    <w:rsid w:val="006D5D00"/>
    <w:rsid w:val="006D666D"/>
    <w:rsid w:val="006D6F08"/>
    <w:rsid w:val="006D7811"/>
    <w:rsid w:val="006E062C"/>
    <w:rsid w:val="006E1B8C"/>
    <w:rsid w:val="006E28B7"/>
    <w:rsid w:val="006E2C26"/>
    <w:rsid w:val="006E3310"/>
    <w:rsid w:val="006E3EDF"/>
    <w:rsid w:val="006E4B74"/>
    <w:rsid w:val="006E4E39"/>
    <w:rsid w:val="006E565E"/>
    <w:rsid w:val="006E64B5"/>
    <w:rsid w:val="006E673D"/>
    <w:rsid w:val="006E7D3B"/>
    <w:rsid w:val="006F0B65"/>
    <w:rsid w:val="006F0B92"/>
    <w:rsid w:val="006F0CAD"/>
    <w:rsid w:val="006F1B70"/>
    <w:rsid w:val="006F20CB"/>
    <w:rsid w:val="006F341D"/>
    <w:rsid w:val="006F3CDE"/>
    <w:rsid w:val="006F58D4"/>
    <w:rsid w:val="006F6D56"/>
    <w:rsid w:val="006F7626"/>
    <w:rsid w:val="00701234"/>
    <w:rsid w:val="0070346E"/>
    <w:rsid w:val="00704406"/>
    <w:rsid w:val="00704EDB"/>
    <w:rsid w:val="0070537F"/>
    <w:rsid w:val="00705753"/>
    <w:rsid w:val="00706028"/>
    <w:rsid w:val="00706101"/>
    <w:rsid w:val="00707072"/>
    <w:rsid w:val="00707140"/>
    <w:rsid w:val="00707706"/>
    <w:rsid w:val="00707D61"/>
    <w:rsid w:val="00712287"/>
    <w:rsid w:val="007123B6"/>
    <w:rsid w:val="00712772"/>
    <w:rsid w:val="007146AF"/>
    <w:rsid w:val="007148D3"/>
    <w:rsid w:val="00714FEB"/>
    <w:rsid w:val="00715B9A"/>
    <w:rsid w:val="0071798B"/>
    <w:rsid w:val="00720376"/>
    <w:rsid w:val="007205B8"/>
    <w:rsid w:val="00721205"/>
    <w:rsid w:val="00721593"/>
    <w:rsid w:val="00726EA6"/>
    <w:rsid w:val="00726ED5"/>
    <w:rsid w:val="00727208"/>
    <w:rsid w:val="00727680"/>
    <w:rsid w:val="00727BAB"/>
    <w:rsid w:val="007348B1"/>
    <w:rsid w:val="00734B23"/>
    <w:rsid w:val="007356F2"/>
    <w:rsid w:val="00735ADB"/>
    <w:rsid w:val="007362A6"/>
    <w:rsid w:val="00736D7D"/>
    <w:rsid w:val="00737276"/>
    <w:rsid w:val="00740344"/>
    <w:rsid w:val="00740E58"/>
    <w:rsid w:val="00742612"/>
    <w:rsid w:val="0074263A"/>
    <w:rsid w:val="00742E3D"/>
    <w:rsid w:val="0074405B"/>
    <w:rsid w:val="00744142"/>
    <w:rsid w:val="007445A0"/>
    <w:rsid w:val="00744ECC"/>
    <w:rsid w:val="00744FE4"/>
    <w:rsid w:val="0074524B"/>
    <w:rsid w:val="007460A0"/>
    <w:rsid w:val="0074684D"/>
    <w:rsid w:val="00747751"/>
    <w:rsid w:val="00747838"/>
    <w:rsid w:val="00747B4D"/>
    <w:rsid w:val="00747D8B"/>
    <w:rsid w:val="00750580"/>
    <w:rsid w:val="00751228"/>
    <w:rsid w:val="00752BA0"/>
    <w:rsid w:val="007535D6"/>
    <w:rsid w:val="00753CAE"/>
    <w:rsid w:val="00754B9B"/>
    <w:rsid w:val="007565E2"/>
    <w:rsid w:val="007571E1"/>
    <w:rsid w:val="00757FA9"/>
    <w:rsid w:val="007604B2"/>
    <w:rsid w:val="00760D99"/>
    <w:rsid w:val="00763711"/>
    <w:rsid w:val="00763989"/>
    <w:rsid w:val="00763BFE"/>
    <w:rsid w:val="00764B17"/>
    <w:rsid w:val="00765281"/>
    <w:rsid w:val="00765787"/>
    <w:rsid w:val="00766BAD"/>
    <w:rsid w:val="00767A0C"/>
    <w:rsid w:val="0077023B"/>
    <w:rsid w:val="0077066C"/>
    <w:rsid w:val="007716C3"/>
    <w:rsid w:val="007725CA"/>
    <w:rsid w:val="00772EEC"/>
    <w:rsid w:val="007730BD"/>
    <w:rsid w:val="00774DB2"/>
    <w:rsid w:val="007755F2"/>
    <w:rsid w:val="00775BC4"/>
    <w:rsid w:val="00775C76"/>
    <w:rsid w:val="00776971"/>
    <w:rsid w:val="00777025"/>
    <w:rsid w:val="007804ED"/>
    <w:rsid w:val="00780ECB"/>
    <w:rsid w:val="0078177E"/>
    <w:rsid w:val="0078242F"/>
    <w:rsid w:val="0078304C"/>
    <w:rsid w:val="00783673"/>
    <w:rsid w:val="00783800"/>
    <w:rsid w:val="00783E9E"/>
    <w:rsid w:val="00785490"/>
    <w:rsid w:val="00790829"/>
    <w:rsid w:val="007913AC"/>
    <w:rsid w:val="007925EA"/>
    <w:rsid w:val="00793CD8"/>
    <w:rsid w:val="00793EEA"/>
    <w:rsid w:val="00794234"/>
    <w:rsid w:val="00795C92"/>
    <w:rsid w:val="00796231"/>
    <w:rsid w:val="007A000A"/>
    <w:rsid w:val="007A18AB"/>
    <w:rsid w:val="007A1CB3"/>
    <w:rsid w:val="007A306F"/>
    <w:rsid w:val="007A3A3A"/>
    <w:rsid w:val="007A3FE1"/>
    <w:rsid w:val="007A43A6"/>
    <w:rsid w:val="007A554B"/>
    <w:rsid w:val="007A58A6"/>
    <w:rsid w:val="007A5C78"/>
    <w:rsid w:val="007A729B"/>
    <w:rsid w:val="007A7495"/>
    <w:rsid w:val="007B03B5"/>
    <w:rsid w:val="007B1F6A"/>
    <w:rsid w:val="007B2981"/>
    <w:rsid w:val="007B307D"/>
    <w:rsid w:val="007B3D2D"/>
    <w:rsid w:val="007B419E"/>
    <w:rsid w:val="007B4E51"/>
    <w:rsid w:val="007B50AE"/>
    <w:rsid w:val="007B51DF"/>
    <w:rsid w:val="007B5ACB"/>
    <w:rsid w:val="007B671C"/>
    <w:rsid w:val="007B7DEB"/>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6AD0"/>
    <w:rsid w:val="007D7526"/>
    <w:rsid w:val="007E050B"/>
    <w:rsid w:val="007E1D56"/>
    <w:rsid w:val="007E1DCF"/>
    <w:rsid w:val="007E28CE"/>
    <w:rsid w:val="007E324C"/>
    <w:rsid w:val="007E3ED6"/>
    <w:rsid w:val="007E4610"/>
    <w:rsid w:val="007E4715"/>
    <w:rsid w:val="007E505B"/>
    <w:rsid w:val="007E55D7"/>
    <w:rsid w:val="007E5FE8"/>
    <w:rsid w:val="007E6BB3"/>
    <w:rsid w:val="007E6BD5"/>
    <w:rsid w:val="007E7091"/>
    <w:rsid w:val="007E728F"/>
    <w:rsid w:val="007E7EB2"/>
    <w:rsid w:val="007F0115"/>
    <w:rsid w:val="007F03C3"/>
    <w:rsid w:val="007F0A6C"/>
    <w:rsid w:val="007F0C73"/>
    <w:rsid w:val="007F1359"/>
    <w:rsid w:val="007F1B9C"/>
    <w:rsid w:val="007F264E"/>
    <w:rsid w:val="007F26F1"/>
    <w:rsid w:val="0080049D"/>
    <w:rsid w:val="00802BC9"/>
    <w:rsid w:val="00802DCA"/>
    <w:rsid w:val="0080330F"/>
    <w:rsid w:val="008036DF"/>
    <w:rsid w:val="008038CB"/>
    <w:rsid w:val="00803B8A"/>
    <w:rsid w:val="00803FAE"/>
    <w:rsid w:val="0080605F"/>
    <w:rsid w:val="00807034"/>
    <w:rsid w:val="00807786"/>
    <w:rsid w:val="0081055B"/>
    <w:rsid w:val="0081062E"/>
    <w:rsid w:val="00811505"/>
    <w:rsid w:val="00811FCB"/>
    <w:rsid w:val="008144B9"/>
    <w:rsid w:val="008158D6"/>
    <w:rsid w:val="0081606D"/>
    <w:rsid w:val="00816161"/>
    <w:rsid w:val="00817196"/>
    <w:rsid w:val="00817EDE"/>
    <w:rsid w:val="00820612"/>
    <w:rsid w:val="00821D89"/>
    <w:rsid w:val="00823081"/>
    <w:rsid w:val="008235DB"/>
    <w:rsid w:val="00824AB4"/>
    <w:rsid w:val="00824B72"/>
    <w:rsid w:val="00825C42"/>
    <w:rsid w:val="00825D25"/>
    <w:rsid w:val="00827D6F"/>
    <w:rsid w:val="00827E1A"/>
    <w:rsid w:val="00830AAD"/>
    <w:rsid w:val="008311F3"/>
    <w:rsid w:val="00831210"/>
    <w:rsid w:val="00832D13"/>
    <w:rsid w:val="008338BA"/>
    <w:rsid w:val="0083765F"/>
    <w:rsid w:val="008376AC"/>
    <w:rsid w:val="008376D8"/>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3045"/>
    <w:rsid w:val="00854B3A"/>
    <w:rsid w:val="008553ED"/>
    <w:rsid w:val="008557F8"/>
    <w:rsid w:val="00856911"/>
    <w:rsid w:val="00860458"/>
    <w:rsid w:val="00860F9D"/>
    <w:rsid w:val="008614C3"/>
    <w:rsid w:val="00861C2D"/>
    <w:rsid w:val="008624AF"/>
    <w:rsid w:val="008628C0"/>
    <w:rsid w:val="0086330E"/>
    <w:rsid w:val="00864C5C"/>
    <w:rsid w:val="00865044"/>
    <w:rsid w:val="00865151"/>
    <w:rsid w:val="00865698"/>
    <w:rsid w:val="0086740A"/>
    <w:rsid w:val="0086758D"/>
    <w:rsid w:val="008677FD"/>
    <w:rsid w:val="008706D4"/>
    <w:rsid w:val="00870F8A"/>
    <w:rsid w:val="008719A4"/>
    <w:rsid w:val="00871D23"/>
    <w:rsid w:val="00872838"/>
    <w:rsid w:val="00874312"/>
    <w:rsid w:val="0087437C"/>
    <w:rsid w:val="0087475E"/>
    <w:rsid w:val="00875532"/>
    <w:rsid w:val="00875CD7"/>
    <w:rsid w:val="00875F70"/>
    <w:rsid w:val="0087646B"/>
    <w:rsid w:val="008766CA"/>
    <w:rsid w:val="0087681A"/>
    <w:rsid w:val="00876B4D"/>
    <w:rsid w:val="00877F18"/>
    <w:rsid w:val="0088016B"/>
    <w:rsid w:val="008803CA"/>
    <w:rsid w:val="00880C7C"/>
    <w:rsid w:val="00884366"/>
    <w:rsid w:val="00884BC2"/>
    <w:rsid w:val="008864B9"/>
    <w:rsid w:val="008865ED"/>
    <w:rsid w:val="0089173C"/>
    <w:rsid w:val="00893C6A"/>
    <w:rsid w:val="00894815"/>
    <w:rsid w:val="00894A88"/>
    <w:rsid w:val="00895386"/>
    <w:rsid w:val="00895556"/>
    <w:rsid w:val="00895660"/>
    <w:rsid w:val="00896586"/>
    <w:rsid w:val="00897036"/>
    <w:rsid w:val="008A0628"/>
    <w:rsid w:val="008A21FF"/>
    <w:rsid w:val="008A2CE2"/>
    <w:rsid w:val="008A30AC"/>
    <w:rsid w:val="008A44B8"/>
    <w:rsid w:val="008A4C69"/>
    <w:rsid w:val="008A4CCF"/>
    <w:rsid w:val="008A4CE0"/>
    <w:rsid w:val="008A51A8"/>
    <w:rsid w:val="008A54C7"/>
    <w:rsid w:val="008A77D8"/>
    <w:rsid w:val="008A7858"/>
    <w:rsid w:val="008B0483"/>
    <w:rsid w:val="008B0517"/>
    <w:rsid w:val="008B08B5"/>
    <w:rsid w:val="008B120C"/>
    <w:rsid w:val="008B40D0"/>
    <w:rsid w:val="008B51A0"/>
    <w:rsid w:val="008B592A"/>
    <w:rsid w:val="008B63B8"/>
    <w:rsid w:val="008B6673"/>
    <w:rsid w:val="008B7B5C"/>
    <w:rsid w:val="008C0C99"/>
    <w:rsid w:val="008C1BD9"/>
    <w:rsid w:val="008C2017"/>
    <w:rsid w:val="008C3E64"/>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219"/>
    <w:rsid w:val="008E05F6"/>
    <w:rsid w:val="008E065E"/>
    <w:rsid w:val="008E0927"/>
    <w:rsid w:val="008E1909"/>
    <w:rsid w:val="008E1B93"/>
    <w:rsid w:val="008E1D0D"/>
    <w:rsid w:val="008E1D88"/>
    <w:rsid w:val="008E1FD0"/>
    <w:rsid w:val="008E25DF"/>
    <w:rsid w:val="008E3445"/>
    <w:rsid w:val="008E6DB3"/>
    <w:rsid w:val="008E722B"/>
    <w:rsid w:val="008E76FD"/>
    <w:rsid w:val="008F0B25"/>
    <w:rsid w:val="008F109D"/>
    <w:rsid w:val="008F1EAB"/>
    <w:rsid w:val="008F33DC"/>
    <w:rsid w:val="008F477F"/>
    <w:rsid w:val="008F55FE"/>
    <w:rsid w:val="008F608F"/>
    <w:rsid w:val="008F6C3F"/>
    <w:rsid w:val="008F7413"/>
    <w:rsid w:val="008F773C"/>
    <w:rsid w:val="00901380"/>
    <w:rsid w:val="00902350"/>
    <w:rsid w:val="0090336B"/>
    <w:rsid w:val="00904B5A"/>
    <w:rsid w:val="009053AA"/>
    <w:rsid w:val="00906939"/>
    <w:rsid w:val="00907940"/>
    <w:rsid w:val="00910B7D"/>
    <w:rsid w:val="0091195F"/>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36B"/>
    <w:rsid w:val="009228D6"/>
    <w:rsid w:val="00922A69"/>
    <w:rsid w:val="00925230"/>
    <w:rsid w:val="00926781"/>
    <w:rsid w:val="00926863"/>
    <w:rsid w:val="009270E9"/>
    <w:rsid w:val="009272EA"/>
    <w:rsid w:val="00927EE8"/>
    <w:rsid w:val="00927F40"/>
    <w:rsid w:val="0093103F"/>
    <w:rsid w:val="00931661"/>
    <w:rsid w:val="00931BD9"/>
    <w:rsid w:val="00931F69"/>
    <w:rsid w:val="009331AD"/>
    <w:rsid w:val="00934DF8"/>
    <w:rsid w:val="0093601A"/>
    <w:rsid w:val="00936851"/>
    <w:rsid w:val="009368F3"/>
    <w:rsid w:val="00936E4D"/>
    <w:rsid w:val="00940BAC"/>
    <w:rsid w:val="009414FD"/>
    <w:rsid w:val="00941636"/>
    <w:rsid w:val="00941E9D"/>
    <w:rsid w:val="009432FF"/>
    <w:rsid w:val="0094346C"/>
    <w:rsid w:val="009435C2"/>
    <w:rsid w:val="00943742"/>
    <w:rsid w:val="00943A70"/>
    <w:rsid w:val="0094423C"/>
    <w:rsid w:val="00944339"/>
    <w:rsid w:val="00944D55"/>
    <w:rsid w:val="00945C05"/>
    <w:rsid w:val="00946945"/>
    <w:rsid w:val="009469C1"/>
    <w:rsid w:val="00947179"/>
    <w:rsid w:val="00947713"/>
    <w:rsid w:val="00947B01"/>
    <w:rsid w:val="009506F9"/>
    <w:rsid w:val="00950DE7"/>
    <w:rsid w:val="00950FBF"/>
    <w:rsid w:val="00951BFD"/>
    <w:rsid w:val="00952423"/>
    <w:rsid w:val="009538B7"/>
    <w:rsid w:val="00953920"/>
    <w:rsid w:val="00953D47"/>
    <w:rsid w:val="00956711"/>
    <w:rsid w:val="0095681E"/>
    <w:rsid w:val="009572D4"/>
    <w:rsid w:val="00957337"/>
    <w:rsid w:val="009579C0"/>
    <w:rsid w:val="00960FEA"/>
    <w:rsid w:val="00961921"/>
    <w:rsid w:val="00961DF7"/>
    <w:rsid w:val="0096255F"/>
    <w:rsid w:val="00963FF9"/>
    <w:rsid w:val="0096430A"/>
    <w:rsid w:val="009646C1"/>
    <w:rsid w:val="00964C30"/>
    <w:rsid w:val="0096554B"/>
    <w:rsid w:val="0096584A"/>
    <w:rsid w:val="00965C53"/>
    <w:rsid w:val="00965D24"/>
    <w:rsid w:val="00967A33"/>
    <w:rsid w:val="00970523"/>
    <w:rsid w:val="00971C42"/>
    <w:rsid w:val="00971F08"/>
    <w:rsid w:val="009720E2"/>
    <w:rsid w:val="00972A6A"/>
    <w:rsid w:val="009739E6"/>
    <w:rsid w:val="00974899"/>
    <w:rsid w:val="00975997"/>
    <w:rsid w:val="0097603D"/>
    <w:rsid w:val="009760BD"/>
    <w:rsid w:val="009762B0"/>
    <w:rsid w:val="00976949"/>
    <w:rsid w:val="0098035C"/>
    <w:rsid w:val="00980477"/>
    <w:rsid w:val="009804F1"/>
    <w:rsid w:val="009813DB"/>
    <w:rsid w:val="009827EF"/>
    <w:rsid w:val="00983E33"/>
    <w:rsid w:val="00984217"/>
    <w:rsid w:val="00984C29"/>
    <w:rsid w:val="00984EE9"/>
    <w:rsid w:val="00985253"/>
    <w:rsid w:val="009853B3"/>
    <w:rsid w:val="009859AE"/>
    <w:rsid w:val="00985CBE"/>
    <w:rsid w:val="00990630"/>
    <w:rsid w:val="00990DDE"/>
    <w:rsid w:val="00991761"/>
    <w:rsid w:val="00992B14"/>
    <w:rsid w:val="00993727"/>
    <w:rsid w:val="00994DCA"/>
    <w:rsid w:val="00995585"/>
    <w:rsid w:val="009960EC"/>
    <w:rsid w:val="00996D46"/>
    <w:rsid w:val="009970DD"/>
    <w:rsid w:val="00997687"/>
    <w:rsid w:val="009A0062"/>
    <w:rsid w:val="009A0FBA"/>
    <w:rsid w:val="009A1601"/>
    <w:rsid w:val="009A2ABB"/>
    <w:rsid w:val="009A330C"/>
    <w:rsid w:val="009A3421"/>
    <w:rsid w:val="009A41F8"/>
    <w:rsid w:val="009A462D"/>
    <w:rsid w:val="009A50DC"/>
    <w:rsid w:val="009A5CBA"/>
    <w:rsid w:val="009A72AE"/>
    <w:rsid w:val="009A7C0A"/>
    <w:rsid w:val="009B1427"/>
    <w:rsid w:val="009B19F5"/>
    <w:rsid w:val="009B1F30"/>
    <w:rsid w:val="009B3AC2"/>
    <w:rsid w:val="009B4B77"/>
    <w:rsid w:val="009B4DF4"/>
    <w:rsid w:val="009B564E"/>
    <w:rsid w:val="009B6463"/>
    <w:rsid w:val="009B6548"/>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0F95"/>
    <w:rsid w:val="009E14E0"/>
    <w:rsid w:val="009E1560"/>
    <w:rsid w:val="009E35DB"/>
    <w:rsid w:val="009E47A3"/>
    <w:rsid w:val="009E537B"/>
    <w:rsid w:val="009E5902"/>
    <w:rsid w:val="009E6AA6"/>
    <w:rsid w:val="009E6AC2"/>
    <w:rsid w:val="009E6BC0"/>
    <w:rsid w:val="009E6F0C"/>
    <w:rsid w:val="009E71E0"/>
    <w:rsid w:val="009F08F3"/>
    <w:rsid w:val="009F1ECE"/>
    <w:rsid w:val="009F344F"/>
    <w:rsid w:val="009F3D98"/>
    <w:rsid w:val="009F4360"/>
    <w:rsid w:val="009F47FE"/>
    <w:rsid w:val="00A00F1F"/>
    <w:rsid w:val="00A048A8"/>
    <w:rsid w:val="00A04F49"/>
    <w:rsid w:val="00A0651F"/>
    <w:rsid w:val="00A071E0"/>
    <w:rsid w:val="00A07855"/>
    <w:rsid w:val="00A10C8A"/>
    <w:rsid w:val="00A10FA3"/>
    <w:rsid w:val="00A1184B"/>
    <w:rsid w:val="00A11AB7"/>
    <w:rsid w:val="00A1305E"/>
    <w:rsid w:val="00A1364F"/>
    <w:rsid w:val="00A13991"/>
    <w:rsid w:val="00A13B7A"/>
    <w:rsid w:val="00A13E54"/>
    <w:rsid w:val="00A14179"/>
    <w:rsid w:val="00A14355"/>
    <w:rsid w:val="00A1595C"/>
    <w:rsid w:val="00A17F63"/>
    <w:rsid w:val="00A20E44"/>
    <w:rsid w:val="00A2193B"/>
    <w:rsid w:val="00A23327"/>
    <w:rsid w:val="00A2351A"/>
    <w:rsid w:val="00A23945"/>
    <w:rsid w:val="00A24365"/>
    <w:rsid w:val="00A249D6"/>
    <w:rsid w:val="00A25279"/>
    <w:rsid w:val="00A264A9"/>
    <w:rsid w:val="00A27785"/>
    <w:rsid w:val="00A30187"/>
    <w:rsid w:val="00A31044"/>
    <w:rsid w:val="00A3116E"/>
    <w:rsid w:val="00A3448A"/>
    <w:rsid w:val="00A35099"/>
    <w:rsid w:val="00A354DD"/>
    <w:rsid w:val="00A36297"/>
    <w:rsid w:val="00A3751A"/>
    <w:rsid w:val="00A40D4D"/>
    <w:rsid w:val="00A4191F"/>
    <w:rsid w:val="00A41E2B"/>
    <w:rsid w:val="00A4248C"/>
    <w:rsid w:val="00A44B11"/>
    <w:rsid w:val="00A45B74"/>
    <w:rsid w:val="00A50F35"/>
    <w:rsid w:val="00A50FA9"/>
    <w:rsid w:val="00A521B4"/>
    <w:rsid w:val="00A52E1D"/>
    <w:rsid w:val="00A55F73"/>
    <w:rsid w:val="00A56A7D"/>
    <w:rsid w:val="00A56D3F"/>
    <w:rsid w:val="00A571A6"/>
    <w:rsid w:val="00A60917"/>
    <w:rsid w:val="00A61499"/>
    <w:rsid w:val="00A622C6"/>
    <w:rsid w:val="00A62A77"/>
    <w:rsid w:val="00A631EF"/>
    <w:rsid w:val="00A63483"/>
    <w:rsid w:val="00A654B7"/>
    <w:rsid w:val="00A657D7"/>
    <w:rsid w:val="00A65935"/>
    <w:rsid w:val="00A65EAB"/>
    <w:rsid w:val="00A660AC"/>
    <w:rsid w:val="00A670A6"/>
    <w:rsid w:val="00A6710F"/>
    <w:rsid w:val="00A674D5"/>
    <w:rsid w:val="00A67E6C"/>
    <w:rsid w:val="00A67F05"/>
    <w:rsid w:val="00A70B9C"/>
    <w:rsid w:val="00A71B99"/>
    <w:rsid w:val="00A71C74"/>
    <w:rsid w:val="00A72EFE"/>
    <w:rsid w:val="00A739D0"/>
    <w:rsid w:val="00A74E64"/>
    <w:rsid w:val="00A7563F"/>
    <w:rsid w:val="00A758C5"/>
    <w:rsid w:val="00A759F1"/>
    <w:rsid w:val="00A75EF7"/>
    <w:rsid w:val="00A761D4"/>
    <w:rsid w:val="00A766C1"/>
    <w:rsid w:val="00A77C9E"/>
    <w:rsid w:val="00A77EC4"/>
    <w:rsid w:val="00A80BAB"/>
    <w:rsid w:val="00A8279D"/>
    <w:rsid w:val="00A8392D"/>
    <w:rsid w:val="00A85AE7"/>
    <w:rsid w:val="00A9043E"/>
    <w:rsid w:val="00A908BD"/>
    <w:rsid w:val="00A92879"/>
    <w:rsid w:val="00A93C72"/>
    <w:rsid w:val="00A93F17"/>
    <w:rsid w:val="00A9442A"/>
    <w:rsid w:val="00A96CC6"/>
    <w:rsid w:val="00AA016F"/>
    <w:rsid w:val="00AA18D0"/>
    <w:rsid w:val="00AA1ED6"/>
    <w:rsid w:val="00AA219B"/>
    <w:rsid w:val="00AA24B3"/>
    <w:rsid w:val="00AA2677"/>
    <w:rsid w:val="00AA26F4"/>
    <w:rsid w:val="00AA4C7D"/>
    <w:rsid w:val="00AA51D6"/>
    <w:rsid w:val="00AA56AA"/>
    <w:rsid w:val="00AB06E5"/>
    <w:rsid w:val="00AB0BC8"/>
    <w:rsid w:val="00AB11CA"/>
    <w:rsid w:val="00AB13EC"/>
    <w:rsid w:val="00AB14D9"/>
    <w:rsid w:val="00AB1EAE"/>
    <w:rsid w:val="00AB2AA4"/>
    <w:rsid w:val="00AB3A11"/>
    <w:rsid w:val="00AB4AB8"/>
    <w:rsid w:val="00AB4BCA"/>
    <w:rsid w:val="00AB4BE0"/>
    <w:rsid w:val="00AB655E"/>
    <w:rsid w:val="00AB7AE6"/>
    <w:rsid w:val="00AC007F"/>
    <w:rsid w:val="00AC1EAC"/>
    <w:rsid w:val="00AC294B"/>
    <w:rsid w:val="00AC297D"/>
    <w:rsid w:val="00AC2ECD"/>
    <w:rsid w:val="00AC3119"/>
    <w:rsid w:val="00AC4578"/>
    <w:rsid w:val="00AC468A"/>
    <w:rsid w:val="00AC49FB"/>
    <w:rsid w:val="00AC4D71"/>
    <w:rsid w:val="00AC4E18"/>
    <w:rsid w:val="00AC5A10"/>
    <w:rsid w:val="00AC6D53"/>
    <w:rsid w:val="00AD0348"/>
    <w:rsid w:val="00AD0AA3"/>
    <w:rsid w:val="00AD3168"/>
    <w:rsid w:val="00AD3E61"/>
    <w:rsid w:val="00AD3F94"/>
    <w:rsid w:val="00AD4A5A"/>
    <w:rsid w:val="00AD65F2"/>
    <w:rsid w:val="00AD7F95"/>
    <w:rsid w:val="00AE06DB"/>
    <w:rsid w:val="00AE0905"/>
    <w:rsid w:val="00AE0D06"/>
    <w:rsid w:val="00AE27AC"/>
    <w:rsid w:val="00AE40E0"/>
    <w:rsid w:val="00AE4DBA"/>
    <w:rsid w:val="00AE4F07"/>
    <w:rsid w:val="00AE62E2"/>
    <w:rsid w:val="00AE6479"/>
    <w:rsid w:val="00AE7446"/>
    <w:rsid w:val="00AF0DB6"/>
    <w:rsid w:val="00AF1C5D"/>
    <w:rsid w:val="00AF2026"/>
    <w:rsid w:val="00AF3D15"/>
    <w:rsid w:val="00AF40F4"/>
    <w:rsid w:val="00AF42D7"/>
    <w:rsid w:val="00AF43AB"/>
    <w:rsid w:val="00AF53B6"/>
    <w:rsid w:val="00AF5504"/>
    <w:rsid w:val="00AF5CB5"/>
    <w:rsid w:val="00AF6237"/>
    <w:rsid w:val="00AF6F7D"/>
    <w:rsid w:val="00AF7027"/>
    <w:rsid w:val="00B0035B"/>
    <w:rsid w:val="00B00379"/>
    <w:rsid w:val="00B006FE"/>
    <w:rsid w:val="00B007CB"/>
    <w:rsid w:val="00B0094F"/>
    <w:rsid w:val="00B010BF"/>
    <w:rsid w:val="00B02AA9"/>
    <w:rsid w:val="00B02FA3"/>
    <w:rsid w:val="00B03C4C"/>
    <w:rsid w:val="00B0419A"/>
    <w:rsid w:val="00B0475F"/>
    <w:rsid w:val="00B04D96"/>
    <w:rsid w:val="00B05084"/>
    <w:rsid w:val="00B05BA5"/>
    <w:rsid w:val="00B0611B"/>
    <w:rsid w:val="00B10B32"/>
    <w:rsid w:val="00B136CA"/>
    <w:rsid w:val="00B14B82"/>
    <w:rsid w:val="00B157F9"/>
    <w:rsid w:val="00B167F1"/>
    <w:rsid w:val="00B20256"/>
    <w:rsid w:val="00B20D09"/>
    <w:rsid w:val="00B211B2"/>
    <w:rsid w:val="00B21BE8"/>
    <w:rsid w:val="00B2261B"/>
    <w:rsid w:val="00B22E9E"/>
    <w:rsid w:val="00B253E6"/>
    <w:rsid w:val="00B2763F"/>
    <w:rsid w:val="00B27A61"/>
    <w:rsid w:val="00B27AAC"/>
    <w:rsid w:val="00B30591"/>
    <w:rsid w:val="00B30929"/>
    <w:rsid w:val="00B31239"/>
    <w:rsid w:val="00B3351B"/>
    <w:rsid w:val="00B34AC3"/>
    <w:rsid w:val="00B372AA"/>
    <w:rsid w:val="00B40057"/>
    <w:rsid w:val="00B40445"/>
    <w:rsid w:val="00B40ECB"/>
    <w:rsid w:val="00B413D6"/>
    <w:rsid w:val="00B41888"/>
    <w:rsid w:val="00B41DF0"/>
    <w:rsid w:val="00B425F8"/>
    <w:rsid w:val="00B42BDB"/>
    <w:rsid w:val="00B43407"/>
    <w:rsid w:val="00B45A52"/>
    <w:rsid w:val="00B46175"/>
    <w:rsid w:val="00B464FC"/>
    <w:rsid w:val="00B474B4"/>
    <w:rsid w:val="00B477F3"/>
    <w:rsid w:val="00B51BFF"/>
    <w:rsid w:val="00B51E0E"/>
    <w:rsid w:val="00B51F19"/>
    <w:rsid w:val="00B53639"/>
    <w:rsid w:val="00B548DA"/>
    <w:rsid w:val="00B54FE2"/>
    <w:rsid w:val="00B5748F"/>
    <w:rsid w:val="00B6145A"/>
    <w:rsid w:val="00B61615"/>
    <w:rsid w:val="00B61BB1"/>
    <w:rsid w:val="00B61E56"/>
    <w:rsid w:val="00B62AAA"/>
    <w:rsid w:val="00B63A15"/>
    <w:rsid w:val="00B648BF"/>
    <w:rsid w:val="00B650C1"/>
    <w:rsid w:val="00B664C7"/>
    <w:rsid w:val="00B666BC"/>
    <w:rsid w:val="00B669AD"/>
    <w:rsid w:val="00B66C81"/>
    <w:rsid w:val="00B672A7"/>
    <w:rsid w:val="00B675F7"/>
    <w:rsid w:val="00B67691"/>
    <w:rsid w:val="00B706A1"/>
    <w:rsid w:val="00B70D90"/>
    <w:rsid w:val="00B7261C"/>
    <w:rsid w:val="00B739F6"/>
    <w:rsid w:val="00B74B6C"/>
    <w:rsid w:val="00B77324"/>
    <w:rsid w:val="00B81A6C"/>
    <w:rsid w:val="00B81FDF"/>
    <w:rsid w:val="00B83559"/>
    <w:rsid w:val="00B837ED"/>
    <w:rsid w:val="00B85581"/>
    <w:rsid w:val="00B85DE5"/>
    <w:rsid w:val="00B90580"/>
    <w:rsid w:val="00B907EA"/>
    <w:rsid w:val="00B90F73"/>
    <w:rsid w:val="00B93188"/>
    <w:rsid w:val="00B93B59"/>
    <w:rsid w:val="00B9406A"/>
    <w:rsid w:val="00B940C7"/>
    <w:rsid w:val="00B959EC"/>
    <w:rsid w:val="00B96825"/>
    <w:rsid w:val="00B97D9D"/>
    <w:rsid w:val="00BA04E2"/>
    <w:rsid w:val="00BA1FE5"/>
    <w:rsid w:val="00BA2280"/>
    <w:rsid w:val="00BA2A08"/>
    <w:rsid w:val="00BA2C70"/>
    <w:rsid w:val="00BA2DEF"/>
    <w:rsid w:val="00BA3301"/>
    <w:rsid w:val="00BA4150"/>
    <w:rsid w:val="00BA52AA"/>
    <w:rsid w:val="00BA5641"/>
    <w:rsid w:val="00BA56D2"/>
    <w:rsid w:val="00BA76E0"/>
    <w:rsid w:val="00BB0367"/>
    <w:rsid w:val="00BB09BC"/>
    <w:rsid w:val="00BB2A25"/>
    <w:rsid w:val="00BB346D"/>
    <w:rsid w:val="00BB40A1"/>
    <w:rsid w:val="00BB51BB"/>
    <w:rsid w:val="00BB51E9"/>
    <w:rsid w:val="00BB5F35"/>
    <w:rsid w:val="00BB636D"/>
    <w:rsid w:val="00BC0698"/>
    <w:rsid w:val="00BC0C69"/>
    <w:rsid w:val="00BC0E6A"/>
    <w:rsid w:val="00BC0FDC"/>
    <w:rsid w:val="00BC1DEE"/>
    <w:rsid w:val="00BC29AB"/>
    <w:rsid w:val="00BC3053"/>
    <w:rsid w:val="00BC4A4F"/>
    <w:rsid w:val="00BC4D2E"/>
    <w:rsid w:val="00BC6412"/>
    <w:rsid w:val="00BC6B9A"/>
    <w:rsid w:val="00BC762C"/>
    <w:rsid w:val="00BC7C09"/>
    <w:rsid w:val="00BD0E2B"/>
    <w:rsid w:val="00BD48AC"/>
    <w:rsid w:val="00BD5EE3"/>
    <w:rsid w:val="00BD5F1A"/>
    <w:rsid w:val="00BD63B6"/>
    <w:rsid w:val="00BE00AA"/>
    <w:rsid w:val="00BE0792"/>
    <w:rsid w:val="00BE1234"/>
    <w:rsid w:val="00BE2D8C"/>
    <w:rsid w:val="00BE2FA6"/>
    <w:rsid w:val="00BE32F5"/>
    <w:rsid w:val="00BE333F"/>
    <w:rsid w:val="00BE3999"/>
    <w:rsid w:val="00BE450C"/>
    <w:rsid w:val="00BE689A"/>
    <w:rsid w:val="00BE7406"/>
    <w:rsid w:val="00BE7603"/>
    <w:rsid w:val="00BF058E"/>
    <w:rsid w:val="00BF0B1D"/>
    <w:rsid w:val="00BF144B"/>
    <w:rsid w:val="00BF16CF"/>
    <w:rsid w:val="00BF204E"/>
    <w:rsid w:val="00BF20C7"/>
    <w:rsid w:val="00BF21DA"/>
    <w:rsid w:val="00BF3279"/>
    <w:rsid w:val="00BF6002"/>
    <w:rsid w:val="00BF609E"/>
    <w:rsid w:val="00BF74C7"/>
    <w:rsid w:val="00C00DEB"/>
    <w:rsid w:val="00C015F1"/>
    <w:rsid w:val="00C0173E"/>
    <w:rsid w:val="00C01973"/>
    <w:rsid w:val="00C01F33"/>
    <w:rsid w:val="00C022E6"/>
    <w:rsid w:val="00C02CC6"/>
    <w:rsid w:val="00C040F7"/>
    <w:rsid w:val="00C041B0"/>
    <w:rsid w:val="00C044AB"/>
    <w:rsid w:val="00C052B5"/>
    <w:rsid w:val="00C055AB"/>
    <w:rsid w:val="00C05706"/>
    <w:rsid w:val="00C05AB2"/>
    <w:rsid w:val="00C07377"/>
    <w:rsid w:val="00C10478"/>
    <w:rsid w:val="00C11122"/>
    <w:rsid w:val="00C1157F"/>
    <w:rsid w:val="00C1189B"/>
    <w:rsid w:val="00C11B5A"/>
    <w:rsid w:val="00C12107"/>
    <w:rsid w:val="00C1237D"/>
    <w:rsid w:val="00C12C66"/>
    <w:rsid w:val="00C145B6"/>
    <w:rsid w:val="00C14D4B"/>
    <w:rsid w:val="00C154BB"/>
    <w:rsid w:val="00C20190"/>
    <w:rsid w:val="00C223E6"/>
    <w:rsid w:val="00C23971"/>
    <w:rsid w:val="00C24DFB"/>
    <w:rsid w:val="00C2563D"/>
    <w:rsid w:val="00C26204"/>
    <w:rsid w:val="00C26FAA"/>
    <w:rsid w:val="00C279B5"/>
    <w:rsid w:val="00C27C45"/>
    <w:rsid w:val="00C27E0C"/>
    <w:rsid w:val="00C30237"/>
    <w:rsid w:val="00C30437"/>
    <w:rsid w:val="00C317A7"/>
    <w:rsid w:val="00C34167"/>
    <w:rsid w:val="00C34D08"/>
    <w:rsid w:val="00C3719D"/>
    <w:rsid w:val="00C372D0"/>
    <w:rsid w:val="00C37BFD"/>
    <w:rsid w:val="00C41A9D"/>
    <w:rsid w:val="00C41E90"/>
    <w:rsid w:val="00C425D1"/>
    <w:rsid w:val="00C43C3B"/>
    <w:rsid w:val="00C44AE7"/>
    <w:rsid w:val="00C4791A"/>
    <w:rsid w:val="00C47A84"/>
    <w:rsid w:val="00C50C02"/>
    <w:rsid w:val="00C536F2"/>
    <w:rsid w:val="00C5386C"/>
    <w:rsid w:val="00C54151"/>
    <w:rsid w:val="00C54995"/>
    <w:rsid w:val="00C54D41"/>
    <w:rsid w:val="00C5639D"/>
    <w:rsid w:val="00C56496"/>
    <w:rsid w:val="00C60783"/>
    <w:rsid w:val="00C60E2B"/>
    <w:rsid w:val="00C62CBC"/>
    <w:rsid w:val="00C63E60"/>
    <w:rsid w:val="00C644F7"/>
    <w:rsid w:val="00C64672"/>
    <w:rsid w:val="00C70697"/>
    <w:rsid w:val="00C7229E"/>
    <w:rsid w:val="00C72B66"/>
    <w:rsid w:val="00C72EF4"/>
    <w:rsid w:val="00C73217"/>
    <w:rsid w:val="00C73838"/>
    <w:rsid w:val="00C73B76"/>
    <w:rsid w:val="00C74D92"/>
    <w:rsid w:val="00C75608"/>
    <w:rsid w:val="00C75857"/>
    <w:rsid w:val="00C759CB"/>
    <w:rsid w:val="00C75D2F"/>
    <w:rsid w:val="00C75D88"/>
    <w:rsid w:val="00C767BE"/>
    <w:rsid w:val="00C76963"/>
    <w:rsid w:val="00C76E3C"/>
    <w:rsid w:val="00C76E76"/>
    <w:rsid w:val="00C81163"/>
    <w:rsid w:val="00C81534"/>
    <w:rsid w:val="00C81568"/>
    <w:rsid w:val="00C81698"/>
    <w:rsid w:val="00C82B35"/>
    <w:rsid w:val="00C82B92"/>
    <w:rsid w:val="00C84B71"/>
    <w:rsid w:val="00C856D5"/>
    <w:rsid w:val="00C86997"/>
    <w:rsid w:val="00C87CDD"/>
    <w:rsid w:val="00C87D3C"/>
    <w:rsid w:val="00C9027A"/>
    <w:rsid w:val="00C905DF"/>
    <w:rsid w:val="00C9068E"/>
    <w:rsid w:val="00C914A2"/>
    <w:rsid w:val="00C91F16"/>
    <w:rsid w:val="00C929E6"/>
    <w:rsid w:val="00C9363F"/>
    <w:rsid w:val="00C93C4B"/>
    <w:rsid w:val="00C94175"/>
    <w:rsid w:val="00C9421B"/>
    <w:rsid w:val="00C944AB"/>
    <w:rsid w:val="00C9451D"/>
    <w:rsid w:val="00C9474E"/>
    <w:rsid w:val="00C95B3B"/>
    <w:rsid w:val="00C95B40"/>
    <w:rsid w:val="00C968EC"/>
    <w:rsid w:val="00C9793A"/>
    <w:rsid w:val="00C97B29"/>
    <w:rsid w:val="00CA0805"/>
    <w:rsid w:val="00CA0A10"/>
    <w:rsid w:val="00CA1ED8"/>
    <w:rsid w:val="00CA3A06"/>
    <w:rsid w:val="00CA46CD"/>
    <w:rsid w:val="00CA4745"/>
    <w:rsid w:val="00CA5C4F"/>
    <w:rsid w:val="00CA61FB"/>
    <w:rsid w:val="00CA6CFD"/>
    <w:rsid w:val="00CA7170"/>
    <w:rsid w:val="00CB0994"/>
    <w:rsid w:val="00CB0DE9"/>
    <w:rsid w:val="00CB197E"/>
    <w:rsid w:val="00CB1F63"/>
    <w:rsid w:val="00CB3028"/>
    <w:rsid w:val="00CB5190"/>
    <w:rsid w:val="00CB585C"/>
    <w:rsid w:val="00CB7170"/>
    <w:rsid w:val="00CC0325"/>
    <w:rsid w:val="00CC040E"/>
    <w:rsid w:val="00CC0818"/>
    <w:rsid w:val="00CC0DFF"/>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26C"/>
    <w:rsid w:val="00CD5A07"/>
    <w:rsid w:val="00CD5C14"/>
    <w:rsid w:val="00CD7AD3"/>
    <w:rsid w:val="00CE032F"/>
    <w:rsid w:val="00CE0424"/>
    <w:rsid w:val="00CE077B"/>
    <w:rsid w:val="00CE0A28"/>
    <w:rsid w:val="00CE0D66"/>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1CF"/>
    <w:rsid w:val="00D115C3"/>
    <w:rsid w:val="00D11897"/>
    <w:rsid w:val="00D11F71"/>
    <w:rsid w:val="00D11F8E"/>
    <w:rsid w:val="00D13135"/>
    <w:rsid w:val="00D13ABF"/>
    <w:rsid w:val="00D13E4E"/>
    <w:rsid w:val="00D140C8"/>
    <w:rsid w:val="00D15089"/>
    <w:rsid w:val="00D1529A"/>
    <w:rsid w:val="00D1723B"/>
    <w:rsid w:val="00D215AD"/>
    <w:rsid w:val="00D223EA"/>
    <w:rsid w:val="00D22874"/>
    <w:rsid w:val="00D239A7"/>
    <w:rsid w:val="00D23F47"/>
    <w:rsid w:val="00D24063"/>
    <w:rsid w:val="00D2503E"/>
    <w:rsid w:val="00D25B3F"/>
    <w:rsid w:val="00D2796C"/>
    <w:rsid w:val="00D3005B"/>
    <w:rsid w:val="00D3020F"/>
    <w:rsid w:val="00D3101D"/>
    <w:rsid w:val="00D318CA"/>
    <w:rsid w:val="00D32166"/>
    <w:rsid w:val="00D35234"/>
    <w:rsid w:val="00D35CF5"/>
    <w:rsid w:val="00D36CAE"/>
    <w:rsid w:val="00D36E71"/>
    <w:rsid w:val="00D37B54"/>
    <w:rsid w:val="00D37D87"/>
    <w:rsid w:val="00D40141"/>
    <w:rsid w:val="00D40B33"/>
    <w:rsid w:val="00D414FB"/>
    <w:rsid w:val="00D42320"/>
    <w:rsid w:val="00D426CB"/>
    <w:rsid w:val="00D4318F"/>
    <w:rsid w:val="00D438BF"/>
    <w:rsid w:val="00D440F8"/>
    <w:rsid w:val="00D4480A"/>
    <w:rsid w:val="00D45637"/>
    <w:rsid w:val="00D46FA5"/>
    <w:rsid w:val="00D501A9"/>
    <w:rsid w:val="00D51446"/>
    <w:rsid w:val="00D52BDC"/>
    <w:rsid w:val="00D537D6"/>
    <w:rsid w:val="00D546FF"/>
    <w:rsid w:val="00D54B63"/>
    <w:rsid w:val="00D55AD5"/>
    <w:rsid w:val="00D55B51"/>
    <w:rsid w:val="00D55C96"/>
    <w:rsid w:val="00D576CA"/>
    <w:rsid w:val="00D57B44"/>
    <w:rsid w:val="00D601A6"/>
    <w:rsid w:val="00D60E13"/>
    <w:rsid w:val="00D61A79"/>
    <w:rsid w:val="00D61A7A"/>
    <w:rsid w:val="00D61AF5"/>
    <w:rsid w:val="00D6235B"/>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77"/>
    <w:rsid w:val="00D80383"/>
    <w:rsid w:val="00D815D6"/>
    <w:rsid w:val="00D8203B"/>
    <w:rsid w:val="00D823C6"/>
    <w:rsid w:val="00D85EF7"/>
    <w:rsid w:val="00D86CA3"/>
    <w:rsid w:val="00D871CE"/>
    <w:rsid w:val="00D9037C"/>
    <w:rsid w:val="00D9196D"/>
    <w:rsid w:val="00D920A7"/>
    <w:rsid w:val="00D92982"/>
    <w:rsid w:val="00D955F9"/>
    <w:rsid w:val="00D95A22"/>
    <w:rsid w:val="00D965C0"/>
    <w:rsid w:val="00D97088"/>
    <w:rsid w:val="00DA0701"/>
    <w:rsid w:val="00DA305E"/>
    <w:rsid w:val="00DA435C"/>
    <w:rsid w:val="00DA5007"/>
    <w:rsid w:val="00DA51D2"/>
    <w:rsid w:val="00DA536E"/>
    <w:rsid w:val="00DA5417"/>
    <w:rsid w:val="00DA56E8"/>
    <w:rsid w:val="00DA67A6"/>
    <w:rsid w:val="00DB06D8"/>
    <w:rsid w:val="00DB0A9F"/>
    <w:rsid w:val="00DB2658"/>
    <w:rsid w:val="00DB377D"/>
    <w:rsid w:val="00DB3B82"/>
    <w:rsid w:val="00DB7182"/>
    <w:rsid w:val="00DC0DB5"/>
    <w:rsid w:val="00DC148B"/>
    <w:rsid w:val="00DC21E1"/>
    <w:rsid w:val="00DC2396"/>
    <w:rsid w:val="00DC2D36"/>
    <w:rsid w:val="00DC33E4"/>
    <w:rsid w:val="00DC3DD8"/>
    <w:rsid w:val="00DC53EF"/>
    <w:rsid w:val="00DC561F"/>
    <w:rsid w:val="00DC6D71"/>
    <w:rsid w:val="00DC7FEA"/>
    <w:rsid w:val="00DD1F9F"/>
    <w:rsid w:val="00DD355C"/>
    <w:rsid w:val="00DD6049"/>
    <w:rsid w:val="00DD7867"/>
    <w:rsid w:val="00DE0910"/>
    <w:rsid w:val="00DE2A84"/>
    <w:rsid w:val="00DE3A33"/>
    <w:rsid w:val="00DE5608"/>
    <w:rsid w:val="00DE58D0"/>
    <w:rsid w:val="00DE631B"/>
    <w:rsid w:val="00DE654F"/>
    <w:rsid w:val="00DF0B6E"/>
    <w:rsid w:val="00DF15E0"/>
    <w:rsid w:val="00DF20A7"/>
    <w:rsid w:val="00DF37A0"/>
    <w:rsid w:val="00DF4B4B"/>
    <w:rsid w:val="00DF5C56"/>
    <w:rsid w:val="00E008FB"/>
    <w:rsid w:val="00E009BE"/>
    <w:rsid w:val="00E02CFE"/>
    <w:rsid w:val="00E05B34"/>
    <w:rsid w:val="00E10B1C"/>
    <w:rsid w:val="00E110E7"/>
    <w:rsid w:val="00E11B20"/>
    <w:rsid w:val="00E13ABF"/>
    <w:rsid w:val="00E141E3"/>
    <w:rsid w:val="00E156FA"/>
    <w:rsid w:val="00E15C28"/>
    <w:rsid w:val="00E15E3A"/>
    <w:rsid w:val="00E16424"/>
    <w:rsid w:val="00E174CA"/>
    <w:rsid w:val="00E17944"/>
    <w:rsid w:val="00E17970"/>
    <w:rsid w:val="00E17B45"/>
    <w:rsid w:val="00E17FA2"/>
    <w:rsid w:val="00E22330"/>
    <w:rsid w:val="00E23A02"/>
    <w:rsid w:val="00E25B80"/>
    <w:rsid w:val="00E30B5A"/>
    <w:rsid w:val="00E30D10"/>
    <w:rsid w:val="00E3123D"/>
    <w:rsid w:val="00E31461"/>
    <w:rsid w:val="00E31C0F"/>
    <w:rsid w:val="00E31D43"/>
    <w:rsid w:val="00E32608"/>
    <w:rsid w:val="00E328C7"/>
    <w:rsid w:val="00E32C7B"/>
    <w:rsid w:val="00E33E4A"/>
    <w:rsid w:val="00E34188"/>
    <w:rsid w:val="00E345CD"/>
    <w:rsid w:val="00E34B6E"/>
    <w:rsid w:val="00E35559"/>
    <w:rsid w:val="00E36156"/>
    <w:rsid w:val="00E371BC"/>
    <w:rsid w:val="00E3723A"/>
    <w:rsid w:val="00E372E0"/>
    <w:rsid w:val="00E37860"/>
    <w:rsid w:val="00E446F1"/>
    <w:rsid w:val="00E44B94"/>
    <w:rsid w:val="00E44CBB"/>
    <w:rsid w:val="00E46886"/>
    <w:rsid w:val="00E47AEF"/>
    <w:rsid w:val="00E50947"/>
    <w:rsid w:val="00E51843"/>
    <w:rsid w:val="00E51E81"/>
    <w:rsid w:val="00E522C8"/>
    <w:rsid w:val="00E52397"/>
    <w:rsid w:val="00E53B29"/>
    <w:rsid w:val="00E53B75"/>
    <w:rsid w:val="00E54E3B"/>
    <w:rsid w:val="00E557CC"/>
    <w:rsid w:val="00E55EBD"/>
    <w:rsid w:val="00E567AC"/>
    <w:rsid w:val="00E57565"/>
    <w:rsid w:val="00E57A1C"/>
    <w:rsid w:val="00E604AE"/>
    <w:rsid w:val="00E60E6B"/>
    <w:rsid w:val="00E62B73"/>
    <w:rsid w:val="00E63838"/>
    <w:rsid w:val="00E63F1B"/>
    <w:rsid w:val="00E64434"/>
    <w:rsid w:val="00E65872"/>
    <w:rsid w:val="00E67C51"/>
    <w:rsid w:val="00E70D86"/>
    <w:rsid w:val="00E719E7"/>
    <w:rsid w:val="00E72CD3"/>
    <w:rsid w:val="00E72CFA"/>
    <w:rsid w:val="00E72EFC"/>
    <w:rsid w:val="00E73B3D"/>
    <w:rsid w:val="00E758EC"/>
    <w:rsid w:val="00E76569"/>
    <w:rsid w:val="00E7778E"/>
    <w:rsid w:val="00E81B9B"/>
    <w:rsid w:val="00E8234C"/>
    <w:rsid w:val="00E83AA9"/>
    <w:rsid w:val="00E85928"/>
    <w:rsid w:val="00E86AC2"/>
    <w:rsid w:val="00E87822"/>
    <w:rsid w:val="00E90395"/>
    <w:rsid w:val="00E90E49"/>
    <w:rsid w:val="00E91756"/>
    <w:rsid w:val="00E917F9"/>
    <w:rsid w:val="00E91E36"/>
    <w:rsid w:val="00E924FA"/>
    <w:rsid w:val="00E9291C"/>
    <w:rsid w:val="00E93C27"/>
    <w:rsid w:val="00E93FFE"/>
    <w:rsid w:val="00E94B98"/>
    <w:rsid w:val="00E94F8A"/>
    <w:rsid w:val="00E957CF"/>
    <w:rsid w:val="00E95E22"/>
    <w:rsid w:val="00E9719C"/>
    <w:rsid w:val="00EA19A7"/>
    <w:rsid w:val="00EA3284"/>
    <w:rsid w:val="00EA5B73"/>
    <w:rsid w:val="00EA6E0E"/>
    <w:rsid w:val="00EA749E"/>
    <w:rsid w:val="00EA74E7"/>
    <w:rsid w:val="00EA7A41"/>
    <w:rsid w:val="00EB077B"/>
    <w:rsid w:val="00EB3697"/>
    <w:rsid w:val="00EB45F9"/>
    <w:rsid w:val="00EB4EA2"/>
    <w:rsid w:val="00EB62EC"/>
    <w:rsid w:val="00EB6361"/>
    <w:rsid w:val="00EB72B7"/>
    <w:rsid w:val="00EC0AD9"/>
    <w:rsid w:val="00EC169C"/>
    <w:rsid w:val="00EC27C6"/>
    <w:rsid w:val="00EC2BDB"/>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4CF"/>
    <w:rsid w:val="00ED6E06"/>
    <w:rsid w:val="00EE0956"/>
    <w:rsid w:val="00EE1975"/>
    <w:rsid w:val="00EE25E7"/>
    <w:rsid w:val="00EE40AF"/>
    <w:rsid w:val="00EE57B6"/>
    <w:rsid w:val="00EE6379"/>
    <w:rsid w:val="00EE6561"/>
    <w:rsid w:val="00EF0038"/>
    <w:rsid w:val="00EF10BC"/>
    <w:rsid w:val="00EF18FE"/>
    <w:rsid w:val="00EF2E6C"/>
    <w:rsid w:val="00EF2EE3"/>
    <w:rsid w:val="00EF4286"/>
    <w:rsid w:val="00EF5787"/>
    <w:rsid w:val="00EF60D0"/>
    <w:rsid w:val="00EF6648"/>
    <w:rsid w:val="00EF669D"/>
    <w:rsid w:val="00EF7136"/>
    <w:rsid w:val="00F0201B"/>
    <w:rsid w:val="00F020A9"/>
    <w:rsid w:val="00F03E8C"/>
    <w:rsid w:val="00F0528D"/>
    <w:rsid w:val="00F06C67"/>
    <w:rsid w:val="00F06DFD"/>
    <w:rsid w:val="00F07172"/>
    <w:rsid w:val="00F071D1"/>
    <w:rsid w:val="00F07533"/>
    <w:rsid w:val="00F100FF"/>
    <w:rsid w:val="00F10629"/>
    <w:rsid w:val="00F12B6C"/>
    <w:rsid w:val="00F13A37"/>
    <w:rsid w:val="00F13EE7"/>
    <w:rsid w:val="00F157CD"/>
    <w:rsid w:val="00F15FA5"/>
    <w:rsid w:val="00F1625B"/>
    <w:rsid w:val="00F16BDE"/>
    <w:rsid w:val="00F209B5"/>
    <w:rsid w:val="00F209B7"/>
    <w:rsid w:val="00F20C4B"/>
    <w:rsid w:val="00F213B9"/>
    <w:rsid w:val="00F21C47"/>
    <w:rsid w:val="00F23639"/>
    <w:rsid w:val="00F2376F"/>
    <w:rsid w:val="00F243D8"/>
    <w:rsid w:val="00F24846"/>
    <w:rsid w:val="00F24E55"/>
    <w:rsid w:val="00F27E80"/>
    <w:rsid w:val="00F30828"/>
    <w:rsid w:val="00F30E66"/>
    <w:rsid w:val="00F31163"/>
    <w:rsid w:val="00F313D6"/>
    <w:rsid w:val="00F31E10"/>
    <w:rsid w:val="00F327BA"/>
    <w:rsid w:val="00F330D1"/>
    <w:rsid w:val="00F338C1"/>
    <w:rsid w:val="00F33DF2"/>
    <w:rsid w:val="00F3459C"/>
    <w:rsid w:val="00F34D6D"/>
    <w:rsid w:val="00F402A9"/>
    <w:rsid w:val="00F40806"/>
    <w:rsid w:val="00F40C33"/>
    <w:rsid w:val="00F40F0C"/>
    <w:rsid w:val="00F40F99"/>
    <w:rsid w:val="00F4350D"/>
    <w:rsid w:val="00F4352A"/>
    <w:rsid w:val="00F44FC5"/>
    <w:rsid w:val="00F46303"/>
    <w:rsid w:val="00F4766C"/>
    <w:rsid w:val="00F47C5C"/>
    <w:rsid w:val="00F47C68"/>
    <w:rsid w:val="00F47D9C"/>
    <w:rsid w:val="00F507D1"/>
    <w:rsid w:val="00F519CE"/>
    <w:rsid w:val="00F51ADA"/>
    <w:rsid w:val="00F51CB3"/>
    <w:rsid w:val="00F53598"/>
    <w:rsid w:val="00F539FE"/>
    <w:rsid w:val="00F54221"/>
    <w:rsid w:val="00F54C67"/>
    <w:rsid w:val="00F56734"/>
    <w:rsid w:val="00F56AB5"/>
    <w:rsid w:val="00F56D19"/>
    <w:rsid w:val="00F6008D"/>
    <w:rsid w:val="00F607C5"/>
    <w:rsid w:val="00F60931"/>
    <w:rsid w:val="00F60DEA"/>
    <w:rsid w:val="00F61B6A"/>
    <w:rsid w:val="00F61E9C"/>
    <w:rsid w:val="00F62119"/>
    <w:rsid w:val="00F624A0"/>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34E"/>
    <w:rsid w:val="00F74BB9"/>
    <w:rsid w:val="00F75582"/>
    <w:rsid w:val="00F75A7F"/>
    <w:rsid w:val="00F76EFA"/>
    <w:rsid w:val="00F77EEF"/>
    <w:rsid w:val="00F804BE"/>
    <w:rsid w:val="00F817CE"/>
    <w:rsid w:val="00F83AA0"/>
    <w:rsid w:val="00F8456C"/>
    <w:rsid w:val="00F859D8"/>
    <w:rsid w:val="00F868F5"/>
    <w:rsid w:val="00F9056A"/>
    <w:rsid w:val="00F9083B"/>
    <w:rsid w:val="00F90F8D"/>
    <w:rsid w:val="00F92782"/>
    <w:rsid w:val="00F93AA9"/>
    <w:rsid w:val="00F96985"/>
    <w:rsid w:val="00F96EAE"/>
    <w:rsid w:val="00F96EFF"/>
    <w:rsid w:val="00F97838"/>
    <w:rsid w:val="00F97BE1"/>
    <w:rsid w:val="00FA03AF"/>
    <w:rsid w:val="00FA05D5"/>
    <w:rsid w:val="00FA0C03"/>
    <w:rsid w:val="00FA1820"/>
    <w:rsid w:val="00FA1A08"/>
    <w:rsid w:val="00FA2BB3"/>
    <w:rsid w:val="00FA2D0B"/>
    <w:rsid w:val="00FA5D49"/>
    <w:rsid w:val="00FA7B90"/>
    <w:rsid w:val="00FB005F"/>
    <w:rsid w:val="00FB2583"/>
    <w:rsid w:val="00FB341E"/>
    <w:rsid w:val="00FB3D52"/>
    <w:rsid w:val="00FB46E6"/>
    <w:rsid w:val="00FB4C80"/>
    <w:rsid w:val="00FB6A6A"/>
    <w:rsid w:val="00FB6ACF"/>
    <w:rsid w:val="00FB6FDB"/>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B08"/>
    <w:rsid w:val="00FD74DB"/>
    <w:rsid w:val="00FD7660"/>
    <w:rsid w:val="00FD7C9D"/>
    <w:rsid w:val="00FE0655"/>
    <w:rsid w:val="00FE20DB"/>
    <w:rsid w:val="00FE2365"/>
    <w:rsid w:val="00FE2722"/>
    <w:rsid w:val="00FE2927"/>
    <w:rsid w:val="00FE39D6"/>
    <w:rsid w:val="00FE449A"/>
    <w:rsid w:val="00FE4C7B"/>
    <w:rsid w:val="00FE69FF"/>
    <w:rsid w:val="00FE7336"/>
    <w:rsid w:val="00FE787C"/>
    <w:rsid w:val="00FF05B7"/>
    <w:rsid w:val="00FF1440"/>
    <w:rsid w:val="00FF1E31"/>
    <w:rsid w:val="00FF45A5"/>
    <w:rsid w:val="00FF4705"/>
    <w:rsid w:val="00FF4D74"/>
    <w:rsid w:val="00FF5139"/>
    <w:rsid w:val="00FF54F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D4D"/>
    <w:pPr>
      <w:spacing w:after="200" w:line="276" w:lineRule="auto"/>
    </w:pPr>
    <w:rPr>
      <w:rFonts w:asciiTheme="minorHAnsi" w:eastAsiaTheme="minorEastAsia" w:hAnsiTheme="minorHAnsi" w:cstheme="minorBidi"/>
      <w:sz w:val="22"/>
      <w:szCs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A72EFE"/>
    <w:pPr>
      <w:keepNext/>
      <w:keepLines/>
      <w:numPr>
        <w:numId w:val="17"/>
      </w:numPr>
      <w:pBdr>
        <w:top w:val="single" w:sz="12" w:space="3" w:color="auto"/>
      </w:pBdr>
      <w:spacing w:before="240" w:after="180"/>
      <w:ind w:left="431" w:hanging="431"/>
      <w:outlineLvl w:val="0"/>
    </w:pPr>
    <w:rPr>
      <w:rFonts w:ascii="Arial" w:hAnsi="Arial"/>
      <w:sz w:val="36"/>
      <w:lang w:val="en-GB" w:eastAsia="en-US"/>
    </w:rPr>
  </w:style>
  <w:style w:type="paragraph" w:styleId="Heading2">
    <w:name w:val="heading 2"/>
    <w:basedOn w:val="Heading1"/>
    <w:next w:val="Normal"/>
    <w:uiPriority w:val="9"/>
    <w:qFormat/>
    <w:rsid w:val="00317B01"/>
    <w:pPr>
      <w:numPr>
        <w:numId w:val="0"/>
      </w:numPr>
      <w:pBdr>
        <w:top w:val="none" w:sz="0" w:space="0" w:color="auto"/>
      </w:pBdr>
      <w:tabs>
        <w:tab w:val="num" w:pos="284"/>
      </w:tabs>
      <w:spacing w:before="180"/>
      <w:ind w:left="284"/>
      <w:outlineLvl w:val="1"/>
    </w:pPr>
    <w:rPr>
      <w:sz w:val="32"/>
      <w:szCs w:val="32"/>
    </w:rPr>
  </w:style>
  <w:style w:type="paragraph" w:styleId="Heading3">
    <w:name w:val="heading 3"/>
    <w:basedOn w:val="Heading2"/>
    <w:next w:val="Normal"/>
    <w:uiPriority w:val="9"/>
    <w:qFormat/>
    <w:rsid w:val="00317B01"/>
    <w:pPr>
      <w:spacing w:before="120"/>
      <w:outlineLvl w:val="2"/>
    </w:pPr>
    <w:rPr>
      <w:sz w:val="28"/>
      <w:szCs w:val="28"/>
    </w:rPr>
  </w:style>
  <w:style w:type="paragraph" w:styleId="Heading4">
    <w:name w:val="heading 4"/>
    <w:basedOn w:val="Heading3"/>
    <w:next w:val="Normal"/>
    <w:uiPriority w:val="9"/>
    <w:qFormat/>
    <w:rsid w:val="00317B01"/>
    <w:pPr>
      <w:outlineLvl w:val="3"/>
    </w:pPr>
    <w:rPr>
      <w:sz w:val="24"/>
      <w:szCs w:val="24"/>
    </w:rPr>
  </w:style>
  <w:style w:type="paragraph" w:styleId="Heading5">
    <w:name w:val="heading 5"/>
    <w:basedOn w:val="Heading4"/>
    <w:next w:val="Normal"/>
    <w:uiPriority w:val="9"/>
    <w:qFormat/>
    <w:rsid w:val="00317B01"/>
    <w:p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40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D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72EFE"/>
    <w:rPr>
      <w:rFonts w:ascii="Arial" w:hAnsi="Arial"/>
      <w:sz w:val="36"/>
      <w:lang w:val="en-GB" w:eastAsia="en-US"/>
    </w:rPr>
  </w:style>
  <w:style w:type="paragraph" w:customStyle="1" w:styleId="B1">
    <w:name w:val="B1"/>
    <w:basedOn w:val="List"/>
    <w:link w:val="B1Zchn"/>
    <w:qFormat/>
    <w:rsid w:val="00317B01"/>
    <w:pPr>
      <w:spacing w:after="180"/>
    </w:pPr>
  </w:style>
  <w:style w:type="paragraph" w:customStyle="1" w:styleId="B2">
    <w:name w:val="B2"/>
    <w:basedOn w:val="List2"/>
    <w:link w:val="B2Char"/>
    <w:uiPriority w:val="99"/>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eastAsia="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numPr>
        <w:numId w:val="11"/>
      </w:numPr>
      <w:spacing w:after="60"/>
    </w:pPr>
    <w:rPr>
      <w:rFonts w:eastAsia="Times New Roman"/>
      <w:szCs w:val="24"/>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qFormat/>
    <w:rsid w:val="005E0FF1"/>
    <w:rPr>
      <w:rFonts w:asciiTheme="minorHAnsi" w:eastAsiaTheme="minorEastAsia" w:hAnsiTheme="minorHAnsi" w:cstheme="minorBidi"/>
      <w:b/>
      <w:sz w:val="18"/>
      <w:szCs w:val="22"/>
      <w:lang w:val="en-GB"/>
    </w:rPr>
  </w:style>
  <w:style w:type="paragraph" w:customStyle="1" w:styleId="RAN1bullet1">
    <w:name w:val="RAN1 bullet1"/>
    <w:basedOn w:val="Normal"/>
    <w:link w:val="RAN1bullet1Char"/>
    <w:qFormat/>
    <w:rsid w:val="00C30237"/>
    <w:pPr>
      <w:numPr>
        <w:numId w:val="21"/>
      </w:numPr>
    </w:pPr>
    <w:rPr>
      <w:rFonts w:ascii="Times" w:eastAsia="Batang" w:hAnsi="Times"/>
      <w:szCs w:val="24"/>
      <w:lang w:eastAsia="x-none"/>
    </w:rPr>
  </w:style>
  <w:style w:type="character" w:customStyle="1" w:styleId="RAN1bullet1Char">
    <w:name w:val="RAN1 bullet1 Char"/>
    <w:link w:val="RAN1bullet1"/>
    <w:rsid w:val="00C30237"/>
    <w:rPr>
      <w:rFonts w:ascii="Times" w:eastAsia="Batang" w:hAnsi="Times"/>
      <w:szCs w:val="24"/>
      <w:lang w:val="en-GB" w:eastAsia="x-none"/>
    </w:rPr>
  </w:style>
  <w:style w:type="character" w:customStyle="1" w:styleId="TALCar">
    <w:name w:val="TAL Car"/>
    <w:link w:val="TAL"/>
    <w:rsid w:val="008B6673"/>
    <w:rPr>
      <w:rFonts w:asciiTheme="minorHAnsi" w:eastAsiaTheme="minorEastAsia" w:hAnsiTheme="minorHAnsi" w:cstheme="minorBidi"/>
      <w:sz w:val="18"/>
      <w:szCs w:val="22"/>
      <w:lang w:val="en-GB"/>
    </w:rPr>
  </w:style>
  <w:style w:type="paragraph" w:customStyle="1" w:styleId="Comments">
    <w:name w:val="Comments"/>
    <w:basedOn w:val="Normal"/>
    <w:link w:val="CommentsChar"/>
    <w:qFormat/>
    <w:rsid w:val="001822A0"/>
    <w:pPr>
      <w:spacing w:before="40"/>
    </w:pPr>
    <w:rPr>
      <w:rFonts w:ascii="Arial" w:hAnsi="Arial"/>
      <w:i/>
      <w:sz w:val="18"/>
      <w:szCs w:val="24"/>
      <w:lang w:eastAsia="en-GB"/>
    </w:rPr>
  </w:style>
  <w:style w:type="character" w:customStyle="1" w:styleId="CommentsChar">
    <w:name w:val="Comments Char"/>
    <w:link w:val="Comments"/>
    <w:rsid w:val="001822A0"/>
    <w:rPr>
      <w:rFonts w:ascii="Arial" w:hAnsi="Arial"/>
      <w:i/>
      <w:sz w:val="18"/>
      <w:szCs w:val="24"/>
      <w:lang w:val="en-GB" w:eastAsia="en-GB"/>
    </w:rPr>
  </w:style>
  <w:style w:type="character" w:customStyle="1" w:styleId="B10">
    <w:name w:val="B1 (文字)"/>
    <w:qFormat/>
    <w:rsid w:val="003755C3"/>
    <w:rPr>
      <w:rFonts w:eastAsia="MS Mincho"/>
      <w:lang w:val="en-GB" w:eastAsia="en-US" w:bidi="ar-SA"/>
    </w:rPr>
  </w:style>
  <w:style w:type="character" w:customStyle="1" w:styleId="B2Char">
    <w:name w:val="B2 Char"/>
    <w:link w:val="B2"/>
    <w:uiPriority w:val="99"/>
    <w:qFormat/>
    <w:rsid w:val="003755C3"/>
    <w:rPr>
      <w:rFonts w:asciiTheme="minorHAnsi" w:eastAsiaTheme="minorEastAsia" w:hAnsiTheme="minorHAnsi" w:cstheme="minorBidi"/>
      <w:kern w:val="2"/>
      <w:sz w:val="21"/>
      <w:szCs w:val="22"/>
      <w:lang w:eastAsia="ja-JP"/>
    </w:rPr>
  </w:style>
  <w:style w:type="character" w:customStyle="1" w:styleId="TACChar">
    <w:name w:val="TAC Char"/>
    <w:link w:val="TAC"/>
    <w:qFormat/>
    <w:rsid w:val="003755C3"/>
    <w:rPr>
      <w:rFonts w:asciiTheme="minorHAnsi" w:eastAsiaTheme="minorEastAsia" w:hAnsiTheme="minorHAnsi" w:cstheme="minorBidi"/>
      <w:kern w:val="2"/>
      <w:sz w:val="18"/>
      <w:szCs w:val="22"/>
      <w:lang w:eastAsia="ja-JP"/>
    </w:rPr>
  </w:style>
  <w:style w:type="paragraph" w:styleId="Subtitle">
    <w:name w:val="Subtitle"/>
    <w:basedOn w:val="Normal"/>
    <w:next w:val="Normal"/>
    <w:link w:val="SubtitleChar"/>
    <w:qFormat/>
    <w:rsid w:val="00041771"/>
    <w:pPr>
      <w:numPr>
        <w:ilvl w:val="1"/>
      </w:numPr>
      <w:spacing w:after="160"/>
    </w:pPr>
    <w:rPr>
      <w:color w:val="5A5A5A" w:themeColor="text1" w:themeTint="A5"/>
      <w:spacing w:val="15"/>
    </w:rPr>
  </w:style>
  <w:style w:type="character" w:customStyle="1" w:styleId="SubtitleChar">
    <w:name w:val="Subtitle Char"/>
    <w:basedOn w:val="DefaultParagraphFont"/>
    <w:link w:val="Subtitle"/>
    <w:rsid w:val="00041771"/>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5794211">
      <w:bodyDiv w:val="1"/>
      <w:marLeft w:val="0"/>
      <w:marRight w:val="0"/>
      <w:marTop w:val="0"/>
      <w:marBottom w:val="0"/>
      <w:divBdr>
        <w:top w:val="none" w:sz="0" w:space="0" w:color="auto"/>
        <w:left w:val="none" w:sz="0" w:space="0" w:color="auto"/>
        <w:bottom w:val="none" w:sz="0" w:space="0" w:color="auto"/>
        <w:right w:val="none" w:sz="0" w:space="0" w:color="auto"/>
      </w:divBdr>
      <w:divsChild>
        <w:div w:id="492766582">
          <w:marLeft w:val="0"/>
          <w:marRight w:val="0"/>
          <w:marTop w:val="0"/>
          <w:marBottom w:val="0"/>
          <w:divBdr>
            <w:top w:val="none" w:sz="0" w:space="0" w:color="auto"/>
            <w:left w:val="none" w:sz="0" w:space="0" w:color="auto"/>
            <w:bottom w:val="none" w:sz="0" w:space="0" w:color="auto"/>
            <w:right w:val="none" w:sz="0" w:space="0" w:color="auto"/>
          </w:divBdr>
        </w:div>
      </w:divsChild>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24391242">
      <w:bodyDiv w:val="1"/>
      <w:marLeft w:val="0"/>
      <w:marRight w:val="0"/>
      <w:marTop w:val="0"/>
      <w:marBottom w:val="0"/>
      <w:divBdr>
        <w:top w:val="none" w:sz="0" w:space="0" w:color="auto"/>
        <w:left w:val="none" w:sz="0" w:space="0" w:color="auto"/>
        <w:bottom w:val="none" w:sz="0" w:space="0" w:color="auto"/>
        <w:right w:val="none" w:sz="0" w:space="0" w:color="auto"/>
      </w:divBdr>
    </w:div>
    <w:div w:id="63564910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12723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4.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7" Type="http://schemas.openxmlformats.org/officeDocument/2006/relationships/settings" Target="setting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openxmlformats.org/officeDocument/2006/relationships/oleObject" Target="embeddings/oleObject60.bin"/><Relationship Id="rId87" Type="http://schemas.openxmlformats.org/officeDocument/2006/relationships/oleObject" Target="embeddings/oleObject68.bin"/><Relationship Id="rId102" Type="http://schemas.openxmlformats.org/officeDocument/2006/relationships/oleObject" Target="embeddings/oleObject83.bin"/><Relationship Id="rId5" Type="http://schemas.openxmlformats.org/officeDocument/2006/relationships/numbering" Target="numbering.xml"/><Relationship Id="rId61" Type="http://schemas.openxmlformats.org/officeDocument/2006/relationships/oleObject" Target="embeddings/oleObject42.bin"/><Relationship Id="rId82" Type="http://schemas.openxmlformats.org/officeDocument/2006/relationships/oleObject" Target="embeddings/oleObject63.bin"/><Relationship Id="rId90" Type="http://schemas.openxmlformats.org/officeDocument/2006/relationships/oleObject" Target="embeddings/oleObject71.bin"/><Relationship Id="rId95" Type="http://schemas.openxmlformats.org/officeDocument/2006/relationships/oleObject" Target="embeddings/oleObject76.bin"/><Relationship Id="rId1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1.bin"/><Relationship Id="rId85" Type="http://schemas.openxmlformats.org/officeDocument/2006/relationships/oleObject" Target="embeddings/oleObject66.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103" Type="http://schemas.openxmlformats.org/officeDocument/2006/relationships/header" Target="header1.xml"/><Relationship Id="rId108" Type="http://schemas.microsoft.com/office/2016/09/relationships/commentsIds" Target="commentsIds.xml"/><Relationship Id="rId20" Type="http://schemas.openxmlformats.org/officeDocument/2006/relationships/image" Target="media/image6.wmf"/><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5.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B45DB-D1A6-40B2-9AA3-F64844B95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c5138de8-bc64-4b1c-a005-76b2c02333b2"/>
    <ds:schemaRef ds:uri="e17e6dd8-9a03-4f9a-8f4f-9708a8e58ee8"/>
    <ds:schemaRef ds:uri="http://www.w3.org/XML/1998/namespace"/>
    <ds:schemaRef ds:uri="http://purl.org/dc/dcmitype/"/>
  </ds:schemaRefs>
</ds:datastoreItem>
</file>

<file path=customXml/itemProps4.xml><?xml version="1.0" encoding="utf-8"?>
<ds:datastoreItem xmlns:ds="http://schemas.openxmlformats.org/officeDocument/2006/customXml" ds:itemID="{BB354828-A6F6-40D3-8B69-7123730CF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4464</Words>
  <Characters>24322</Characters>
  <Application>Microsoft Office Word</Application>
  <DocSecurity>0</DocSecurity>
  <Lines>202</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Contribution on NR-U</vt:lpstr>
      <vt:lpstr>Contribution on NR-U</vt:lpstr>
    </vt:vector>
  </TitlesOfParts>
  <Company>Panasonic Corporation</Company>
  <LinksUpToDate>false</LinksUpToDate>
  <CharactersWithSpaces>28729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DL signals and channels</dc:subject>
  <dc:creator>Hongchao Li</dc:creator>
  <cp:keywords>TDoc; 3GPP; RAN1</cp:keywords>
  <dc:description/>
  <cp:lastModifiedBy>Quan Kuang</cp:lastModifiedBy>
  <cp:revision>3</cp:revision>
  <cp:lastPrinted>2008-01-31T06:09:00Z</cp:lastPrinted>
  <dcterms:created xsi:type="dcterms:W3CDTF">2019-11-08T12:22:00Z</dcterms:created>
  <dcterms:modified xsi:type="dcterms:W3CDTF">2019-11-08T12:23:00Z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0x01010023EA2C9CAEBD0C48A4766BF439B757B9</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